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BF90D" w14:textId="7DA1211C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B74BF6">
        <w:rPr>
          <w:rFonts w:ascii="Tahoma" w:eastAsia="SimSun" w:hAnsi="Tahoma" w:cs="Tahoma"/>
          <w:noProof/>
          <w:kern w:val="3"/>
          <w:sz w:val="19"/>
          <w:szCs w:val="19"/>
          <w:lang w:bidi="hi-IN"/>
        </w:rPr>
        <w:drawing>
          <wp:anchor distT="0" distB="0" distL="114300" distR="114300" simplePos="0" relativeHeight="251658240" behindDoc="0" locked="0" layoutInCell="1" allowOverlap="1" wp14:anchorId="4BBF5F05" wp14:editId="360DC2F8">
            <wp:simplePos x="0" y="0"/>
            <wp:positionH relativeFrom="column">
              <wp:posOffset>0</wp:posOffset>
            </wp:positionH>
            <wp:positionV relativeFrom="paragraph">
              <wp:posOffset>-1629410</wp:posOffset>
            </wp:positionV>
            <wp:extent cx="7559675" cy="11563350"/>
            <wp:effectExtent l="0" t="0" r="3175" b="0"/>
            <wp:wrapNone/>
            <wp:docPr id="8" name="Imagem 8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a de celula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5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3D568" w14:textId="7E3B1365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DB9E8B4" w14:textId="022B35F6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115D87E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0FD7CB05" w14:textId="3E86AF53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33AC5DA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25E7ACA" w14:textId="6524400A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18575CB" w14:textId="7ABC2E25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BFDE640" w14:textId="7CDE789A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AF48BC1" w14:textId="6C8403AF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9163576" w14:textId="449718DC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640AC7DE" w14:textId="7C877F5E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F875D21" w14:textId="2D342A65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C14B3E3" w14:textId="29803213" w:rsidR="007422ED" w:rsidRDefault="009953C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9953CD">
        <w:rPr>
          <w:rFonts w:ascii="Tahoma" w:eastAsia="SimSun" w:hAnsi="Tahoma" w:cs="Tahoma"/>
          <w:noProof/>
          <w:kern w:val="3"/>
          <w:sz w:val="19"/>
          <w:szCs w:val="19"/>
          <w:lang w:bidi="hi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D408C7" wp14:editId="02918493">
                <wp:simplePos x="0" y="0"/>
                <wp:positionH relativeFrom="column">
                  <wp:posOffset>4211320</wp:posOffset>
                </wp:positionH>
                <wp:positionV relativeFrom="paragraph">
                  <wp:posOffset>38735</wp:posOffset>
                </wp:positionV>
                <wp:extent cx="2360930" cy="1404620"/>
                <wp:effectExtent l="0" t="0" r="508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E2714" w14:textId="39AB3962" w:rsidR="009953CD" w:rsidRPr="009953CD" w:rsidRDefault="009953CD">
                            <w:pPr>
                              <w:rPr>
                                <w:color w:val="DD4F05"/>
                                <w:sz w:val="96"/>
                                <w:szCs w:val="96"/>
                              </w:rPr>
                            </w:pPr>
                            <w:r w:rsidRPr="009953CD">
                              <w:rPr>
                                <w:color w:val="DD4F05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  <w:p w14:paraId="3F7E034E" w14:textId="3A1BA6A8" w:rsidR="009953CD" w:rsidRPr="009953CD" w:rsidRDefault="009953CD">
                            <w:pPr>
                              <w:rPr>
                                <w:color w:val="005051"/>
                                <w:sz w:val="36"/>
                                <w:szCs w:val="36"/>
                              </w:rPr>
                            </w:pPr>
                            <w:r w:rsidRPr="009953CD">
                              <w:rPr>
                                <w:color w:val="005051"/>
                                <w:sz w:val="36"/>
                                <w:szCs w:val="36"/>
                              </w:rPr>
                              <w:t xml:space="preserve">Ano base </w:t>
                            </w:r>
                            <w:r w:rsidRPr="009953CD">
                              <w:rPr>
                                <w:b/>
                                <w:bCs/>
                                <w:color w:val="005051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w14:anchorId="12D408C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1.6pt;margin-top:3.0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v&#10;PNoa4AAAAAoBAAAPAAAAAAAAAAAAAAAAAGgEAABkcnMvZG93bnJldi54bWxQSwUGAAAAAAQABADz&#10;AAAAdQUAAAAA&#10;" stroked="f">
                <v:textbox style="mso-fit-shape-to-text:t">
                  <w:txbxContent>
                    <w:p w14:paraId="69DE2714" w14:textId="39AB3962" w:rsidR="009953CD" w:rsidRPr="009953CD" w:rsidRDefault="009953CD">
                      <w:pPr>
                        <w:rPr>
                          <w:color w:val="DD4F05"/>
                          <w:sz w:val="96"/>
                          <w:szCs w:val="96"/>
                        </w:rPr>
                      </w:pPr>
                      <w:r w:rsidRPr="009953CD">
                        <w:rPr>
                          <w:color w:val="DD4F05"/>
                          <w:sz w:val="96"/>
                          <w:szCs w:val="96"/>
                        </w:rPr>
                        <w:t>2024</w:t>
                      </w:r>
                    </w:p>
                    <w:p w14:paraId="3F7E034E" w14:textId="3A1BA6A8" w:rsidR="009953CD" w:rsidRPr="009953CD" w:rsidRDefault="009953CD">
                      <w:pPr>
                        <w:rPr>
                          <w:color w:val="005051"/>
                          <w:sz w:val="36"/>
                          <w:szCs w:val="36"/>
                        </w:rPr>
                      </w:pPr>
                      <w:r w:rsidRPr="009953CD">
                        <w:rPr>
                          <w:color w:val="005051"/>
                          <w:sz w:val="36"/>
                          <w:szCs w:val="36"/>
                        </w:rPr>
                        <w:t xml:space="preserve">Ano base </w:t>
                      </w:r>
                      <w:r w:rsidRPr="009953CD">
                        <w:rPr>
                          <w:b/>
                          <w:bCs/>
                          <w:color w:val="005051"/>
                          <w:sz w:val="36"/>
                          <w:szCs w:val="36"/>
                        </w:rPr>
                        <w:t>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BC093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53BD534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44473B9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5507EE4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F5F9291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3E598F2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DB366E4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3BB5A2E4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F8D2655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7647850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66D7D58D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083D7700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39F592A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1ED5E611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010D716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B875106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C950A9D" w14:textId="77777777" w:rsidR="007422ED" w:rsidRDefault="007422ED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44D10AA" w14:textId="65C79121" w:rsidR="00A31A6F" w:rsidRPr="00B74BF6" w:rsidRDefault="00A31A6F" w:rsidP="00B74BF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  <w:sectPr w:rsidR="00A31A6F" w:rsidRPr="00B74BF6" w:rsidSect="00716131">
          <w:headerReference w:type="default" r:id="rId9"/>
          <w:footerReference w:type="default" r:id="rId10"/>
          <w:pgSz w:w="11906" w:h="16838"/>
          <w:pgMar w:top="0" w:right="0" w:bottom="0" w:left="0" w:header="709" w:footer="709" w:gutter="0"/>
          <w:cols w:space="720"/>
          <w:docGrid w:linePitch="299"/>
        </w:sectPr>
      </w:pPr>
    </w:p>
    <w:p w14:paraId="2A664D3C" w14:textId="77777777" w:rsidR="003839E5" w:rsidRDefault="003839E5" w:rsidP="00BB722A">
      <w:pPr>
        <w:widowControl w:val="0"/>
        <w:suppressAutoHyphens/>
        <w:autoSpaceDN w:val="0"/>
        <w:spacing w:before="120" w:after="120" w:line="360" w:lineRule="auto"/>
        <w:jc w:val="center"/>
        <w:textAlignment w:val="baseline"/>
        <w:rPr>
          <w:rFonts w:ascii="Tahoma" w:eastAsia="SimSun" w:hAnsi="Tahoma" w:cs="Tahoma"/>
          <w:b/>
          <w:color w:val="DD4F05"/>
          <w:kern w:val="3"/>
          <w:szCs w:val="18"/>
          <w:lang w:bidi="hi-IN"/>
        </w:rPr>
      </w:pPr>
    </w:p>
    <w:p w14:paraId="31ADD223" w14:textId="77777777" w:rsidR="00BB722A" w:rsidRPr="00BB722A" w:rsidRDefault="00BB722A" w:rsidP="00BB722A">
      <w:pPr>
        <w:widowControl w:val="0"/>
        <w:suppressAutoHyphens/>
        <w:autoSpaceDN w:val="0"/>
        <w:spacing w:before="120" w:after="120" w:line="360" w:lineRule="auto"/>
        <w:jc w:val="center"/>
        <w:textAlignment w:val="baseline"/>
        <w:rPr>
          <w:rFonts w:ascii="Tahoma" w:eastAsia="SimSun" w:hAnsi="Tahoma" w:cs="Tahoma"/>
          <w:b/>
          <w:color w:val="DD4F05"/>
          <w:kern w:val="3"/>
          <w:szCs w:val="18"/>
          <w:lang w:bidi="hi-IN"/>
        </w:rPr>
      </w:pPr>
      <w:r w:rsidRPr="00BB722A">
        <w:rPr>
          <w:rFonts w:ascii="Tahoma" w:eastAsia="SimSun" w:hAnsi="Tahoma" w:cs="Tahoma"/>
          <w:b/>
          <w:color w:val="DD4F05"/>
          <w:kern w:val="3"/>
          <w:szCs w:val="18"/>
          <w:lang w:bidi="hi-IN"/>
        </w:rPr>
        <w:t>CARTA ANUAL DE POLÍTICAS PÚBLICAS E GOVERNANÇA CORPORATIVA</w:t>
      </w:r>
    </w:p>
    <w:p w14:paraId="0708D4DA" w14:textId="0982458F" w:rsidR="007244AB" w:rsidRDefault="007244AB" w:rsidP="00BB722A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7244AB">
        <w:rPr>
          <w:rFonts w:ascii="Tahoma" w:eastAsia="SimSun" w:hAnsi="Tahoma" w:cs="Tahoma"/>
          <w:kern w:val="3"/>
          <w:sz w:val="19"/>
          <w:szCs w:val="19"/>
          <w:lang w:bidi="hi-IN"/>
        </w:rPr>
        <w:t>Em atenção ao disposto no art. 8º, incisos I e VIII, da Lei nº 13.303, de 30 de junho de 2016, o Conselho de Administração subscreve a presente Carta Anual de Políticas Públicas e Governança Corporativa referente ao exercício social de 20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2</w:t>
      </w:r>
      <w:r w:rsidR="006F05A3"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2072F9AB" w14:textId="57004791" w:rsidR="00BB722A" w:rsidRDefault="00BB722A" w:rsidP="00BB722A">
      <w:pPr>
        <w:widowControl w:val="0"/>
        <w:pBdr>
          <w:bottom w:val="single" w:sz="4" w:space="6" w:color="000000"/>
        </w:pBdr>
        <w:suppressAutoHyphens/>
        <w:autoSpaceDN w:val="0"/>
        <w:spacing w:before="120" w:after="120" w:line="360" w:lineRule="auto"/>
        <w:jc w:val="center"/>
        <w:textAlignment w:val="baseline"/>
        <w:rPr>
          <w:rFonts w:ascii="Tahoma" w:eastAsia="SimSun" w:hAnsi="Tahoma" w:cs="Tahoma"/>
          <w:b/>
          <w:color w:val="005051"/>
          <w:kern w:val="3"/>
          <w:sz w:val="19"/>
          <w:szCs w:val="19"/>
          <w:lang w:bidi="hi-IN"/>
        </w:rPr>
      </w:pPr>
      <w:r w:rsidRPr="00BB722A">
        <w:rPr>
          <w:rFonts w:ascii="Tahoma" w:eastAsia="SimSun" w:hAnsi="Tahoma" w:cs="Tahoma"/>
          <w:b/>
          <w:color w:val="005051"/>
          <w:kern w:val="3"/>
          <w:sz w:val="19"/>
          <w:szCs w:val="19"/>
          <w:lang w:bidi="hi-IN"/>
        </w:rPr>
        <w:t>IDENTIFICAÇÃO GERAL</w:t>
      </w:r>
    </w:p>
    <w:tbl>
      <w:tblPr>
        <w:tblW w:w="94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1988"/>
        <w:gridCol w:w="7087"/>
      </w:tblGrid>
      <w:tr w:rsidR="00BB722A" w:rsidRPr="007244AB" w14:paraId="488B73ED" w14:textId="77777777" w:rsidTr="007244AB">
        <w:trPr>
          <w:trHeight w:val="297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0EAE9" w14:textId="51F719AC" w:rsidR="00DF4C7E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CNPJ: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0EC06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33.749.086/0001-09. NIRE 5.350.000.028-3</w:t>
            </w:r>
          </w:p>
        </w:tc>
      </w:tr>
      <w:tr w:rsidR="00BB722A" w:rsidRPr="007244AB" w14:paraId="49B7B9CC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2B75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Sede: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EF19B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Brasília/DF</w:t>
            </w:r>
          </w:p>
        </w:tc>
      </w:tr>
      <w:tr w:rsidR="00BB722A" w:rsidRPr="007244AB" w14:paraId="140E240E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FB5EE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Tipo de estatal: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337BC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Empresa pública federal</w:t>
            </w:r>
          </w:p>
        </w:tc>
      </w:tr>
      <w:tr w:rsidR="00BB722A" w:rsidRPr="007244AB" w14:paraId="2E6001AA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9F131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Acionista controlador: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6E946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União</w:t>
            </w:r>
          </w:p>
        </w:tc>
      </w:tr>
      <w:tr w:rsidR="00BB722A" w:rsidRPr="007244AB" w14:paraId="51789F8C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CAB6E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Tipo societário: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9582E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Sociedade Anônima</w:t>
            </w:r>
          </w:p>
        </w:tc>
      </w:tr>
      <w:tr w:rsidR="00BB722A" w:rsidRPr="007244AB" w14:paraId="59D9C61A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D989A" w14:textId="4752F819" w:rsidR="00BB722A" w:rsidRPr="00BB722A" w:rsidRDefault="007244AB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>
              <w:rPr>
                <w:rFonts w:ascii="Tahoma" w:eastAsia="Calibri" w:hAnsi="Tahoma" w:cs="Tahoma"/>
                <w:sz w:val="19"/>
                <w:szCs w:val="19"/>
              </w:rPr>
              <w:t>Estrutura</w:t>
            </w:r>
            <w:r w:rsidR="00BB722A" w:rsidRPr="00BB722A">
              <w:rPr>
                <w:rFonts w:ascii="Tahoma" w:eastAsia="Calibri" w:hAnsi="Tahoma" w:cs="Tahoma"/>
                <w:sz w:val="19"/>
                <w:szCs w:val="19"/>
              </w:rPr>
              <w:t xml:space="preserve"> de capital: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3FE26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Fechado</w:t>
            </w:r>
          </w:p>
        </w:tc>
      </w:tr>
      <w:tr w:rsidR="00BB722A" w:rsidRPr="007244AB" w14:paraId="2538CD5B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04ABB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Setor de atuação: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B6E8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Financeiro</w:t>
            </w:r>
          </w:p>
        </w:tc>
      </w:tr>
      <w:tr w:rsidR="007244AB" w:rsidRPr="00BB722A" w14:paraId="48FA335E" w14:textId="77777777" w:rsidTr="007244AB">
        <w:trPr>
          <w:trHeight w:val="20"/>
        </w:trPr>
        <w:tc>
          <w:tcPr>
            <w:tcW w:w="9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1AE49" w14:textId="5032E787" w:rsidR="00ED4061" w:rsidRPr="00ED4061" w:rsidRDefault="007244AB" w:rsidP="00ED4061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7244AB">
              <w:rPr>
                <w:rFonts w:ascii="Tahoma" w:eastAsia="Calibri" w:hAnsi="Tahoma" w:cs="Tahoma"/>
                <w:sz w:val="19"/>
                <w:szCs w:val="19"/>
              </w:rPr>
              <w:t xml:space="preserve">Diretor Financeiro, de Crédito e Captação: </w:t>
            </w:r>
            <w:r w:rsidR="00ED4061" w:rsidRPr="00ED4061">
              <w:rPr>
                <w:rFonts w:ascii="Tahoma" w:eastAsia="Calibri" w:hAnsi="Tahoma" w:cs="Tahoma"/>
                <w:sz w:val="19"/>
                <w:szCs w:val="19"/>
              </w:rPr>
              <w:t>Márcio Stefanni</w:t>
            </w:r>
            <w:r w:rsidR="00A1203D">
              <w:rPr>
                <w:rFonts w:ascii="Tahoma" w:eastAsia="Calibri" w:hAnsi="Tahoma" w:cs="Tahoma"/>
                <w:sz w:val="19"/>
                <w:szCs w:val="19"/>
              </w:rPr>
              <w:t xml:space="preserve">, </w:t>
            </w:r>
            <w:r w:rsidR="00A1203D" w:rsidRPr="00A1203D">
              <w:rPr>
                <w:rFonts w:ascii="Tahoma" w:eastAsia="Calibri" w:hAnsi="Tahoma" w:cs="Tahoma"/>
                <w:sz w:val="19"/>
                <w:szCs w:val="19"/>
              </w:rPr>
              <w:t>(21) 2555-0</w:t>
            </w:r>
            <w:r w:rsidR="00ED4061">
              <w:rPr>
                <w:rFonts w:ascii="Tahoma" w:eastAsia="Calibri" w:hAnsi="Tahoma" w:cs="Tahoma"/>
                <w:sz w:val="19"/>
                <w:szCs w:val="19"/>
              </w:rPr>
              <w:t>772</w:t>
            </w:r>
            <w:r w:rsidR="00A1203D">
              <w:rPr>
                <w:rFonts w:ascii="Tahoma" w:eastAsia="Calibri" w:hAnsi="Tahoma" w:cs="Tahoma"/>
                <w:sz w:val="19"/>
                <w:szCs w:val="19"/>
              </w:rPr>
              <w:t>,</w:t>
            </w:r>
            <w:r w:rsidR="00ED4061">
              <w:rPr>
                <w:rFonts w:ascii="Tahoma" w:eastAsia="Calibri" w:hAnsi="Tahoma" w:cs="Tahoma"/>
                <w:sz w:val="19"/>
                <w:szCs w:val="19"/>
              </w:rPr>
              <w:t xml:space="preserve"> </w:t>
            </w:r>
            <w:r w:rsidR="00ED4061" w:rsidRPr="00ED4061">
              <w:rPr>
                <w:rFonts w:ascii="Tahoma" w:eastAsia="Calibri" w:hAnsi="Tahoma" w:cs="Tahoma"/>
                <w:sz w:val="19"/>
                <w:szCs w:val="19"/>
              </w:rPr>
              <w:t>drfc</w:t>
            </w:r>
            <w:r w:rsidR="00A1203D">
              <w:rPr>
                <w:rFonts w:ascii="Tahoma" w:eastAsia="Calibri" w:hAnsi="Tahoma" w:cs="Tahoma"/>
                <w:sz w:val="19"/>
                <w:szCs w:val="19"/>
              </w:rPr>
              <w:t>@finep.gov.br</w:t>
            </w:r>
            <w:r w:rsidRPr="007244AB">
              <w:rPr>
                <w:rFonts w:ascii="Tahoma" w:eastAsia="Calibri" w:hAnsi="Tahoma" w:cs="Tahoma"/>
                <w:sz w:val="19"/>
                <w:szCs w:val="19"/>
              </w:rPr>
              <w:t>.</w:t>
            </w:r>
          </w:p>
          <w:p w14:paraId="2E749162" w14:textId="4BE91217" w:rsidR="007244AB" w:rsidRPr="00BB722A" w:rsidRDefault="007244AB" w:rsidP="00ED4061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</w:p>
        </w:tc>
      </w:tr>
      <w:tr w:rsidR="00BB722A" w:rsidRPr="00BB722A" w14:paraId="7BA74710" w14:textId="77777777" w:rsidTr="007244AB">
        <w:trPr>
          <w:trHeight w:val="20"/>
        </w:trPr>
        <w:tc>
          <w:tcPr>
            <w:tcW w:w="9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AE531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Auditores Independentes atuais da empresa:</w:t>
            </w:r>
          </w:p>
        </w:tc>
      </w:tr>
      <w:tr w:rsidR="00BB722A" w:rsidRPr="00BB722A" w14:paraId="66D329AB" w14:textId="77777777" w:rsidTr="007244AB">
        <w:trPr>
          <w:trHeight w:val="20"/>
        </w:trPr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2ED7" w14:textId="77777777" w:rsidR="00BB722A" w:rsidRPr="0049437D" w:rsidRDefault="0094289E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49437D">
              <w:br w:type="page"/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DC06" w14:textId="77777777" w:rsidR="00BB722A" w:rsidRPr="0049437D" w:rsidRDefault="00BB722A" w:rsidP="007244AB">
            <w:pPr>
              <w:suppressAutoHyphens/>
              <w:autoSpaceDN w:val="0"/>
              <w:spacing w:before="120" w:after="120" w:line="240" w:lineRule="auto"/>
              <w:jc w:val="both"/>
              <w:rPr>
                <w:rFonts w:ascii="Tahoma" w:eastAsia="Calibri" w:hAnsi="Tahoma" w:cs="Tahoma"/>
                <w:color w:val="000000"/>
                <w:sz w:val="19"/>
                <w:szCs w:val="19"/>
              </w:rPr>
            </w:pPr>
            <w:r w:rsidRPr="0049437D">
              <w:rPr>
                <w:rFonts w:ascii="Tahoma" w:eastAsia="Calibri" w:hAnsi="Tahoma" w:cs="Tahoma"/>
                <w:color w:val="000000"/>
                <w:sz w:val="19"/>
                <w:szCs w:val="19"/>
              </w:rPr>
              <w:t>AUDIMEC Auditores Independentes S/S</w:t>
            </w:r>
          </w:p>
          <w:p w14:paraId="4500BDED" w14:textId="77777777" w:rsidR="00BB722A" w:rsidRPr="0049437D" w:rsidRDefault="00BB722A" w:rsidP="007244AB">
            <w:pPr>
              <w:suppressAutoHyphens/>
              <w:autoSpaceDN w:val="0"/>
              <w:spacing w:before="120" w:after="120" w:line="240" w:lineRule="auto"/>
              <w:jc w:val="both"/>
              <w:rPr>
                <w:rFonts w:ascii="Tahoma" w:eastAsia="Calibri" w:hAnsi="Tahoma" w:cs="Tahoma"/>
                <w:color w:val="0000FF"/>
                <w:sz w:val="19"/>
                <w:szCs w:val="19"/>
                <w:u w:val="single"/>
              </w:rPr>
            </w:pPr>
            <w:r w:rsidRPr="0049437D">
              <w:rPr>
                <w:rFonts w:ascii="Tahoma" w:eastAsia="Calibri" w:hAnsi="Tahoma" w:cs="Tahoma"/>
                <w:color w:val="000000"/>
                <w:sz w:val="19"/>
                <w:szCs w:val="19"/>
              </w:rPr>
              <w:t xml:space="preserve">telefone: (81) 3338-3525; e-mail: </w:t>
            </w:r>
            <w:hyperlink r:id="rId11" w:history="1">
              <w:r w:rsidRPr="0049437D">
                <w:rPr>
                  <w:rFonts w:ascii="Tahoma" w:eastAsia="Calibri" w:hAnsi="Tahoma" w:cs="Tahoma"/>
                  <w:color w:val="0000FF"/>
                  <w:sz w:val="19"/>
                  <w:szCs w:val="19"/>
                  <w:u w:val="single"/>
                </w:rPr>
                <w:t>audimec@audimec.com.br</w:t>
              </w:r>
            </w:hyperlink>
          </w:p>
          <w:p w14:paraId="48830E94" w14:textId="21673E7D" w:rsidR="0049437D" w:rsidRPr="0049437D" w:rsidRDefault="0049437D" w:rsidP="007244AB">
            <w:pPr>
              <w:suppressAutoHyphens/>
              <w:autoSpaceDN w:val="0"/>
              <w:spacing w:before="120" w:after="120" w:line="240" w:lineRule="auto"/>
              <w:jc w:val="both"/>
              <w:rPr>
                <w:rFonts w:ascii="Times New Roman" w:eastAsia="SimSun" w:hAnsi="Times New Roman" w:cs="Calibri"/>
                <w:kern w:val="3"/>
                <w:lang w:bidi="hi-IN"/>
              </w:rPr>
            </w:pPr>
          </w:p>
        </w:tc>
      </w:tr>
      <w:tr w:rsidR="00BB722A" w:rsidRPr="00BB722A" w14:paraId="665FD2F8" w14:textId="77777777" w:rsidTr="00B56AD6">
        <w:trPr>
          <w:trHeight w:val="228"/>
        </w:trPr>
        <w:tc>
          <w:tcPr>
            <w:tcW w:w="9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26029" w14:textId="094B0510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B722A">
              <w:rPr>
                <w:rFonts w:ascii="Tahoma" w:eastAsia="Calibri" w:hAnsi="Tahoma" w:cs="Tahoma"/>
                <w:sz w:val="19"/>
                <w:szCs w:val="19"/>
              </w:rPr>
              <w:t>Conselheiros de Administração subscritores da Carta Anual de Políticas Públicas</w:t>
            </w:r>
            <w:r w:rsidR="007244AB">
              <w:rPr>
                <w:rFonts w:ascii="Tahoma" w:eastAsia="Calibri" w:hAnsi="Tahoma" w:cs="Tahoma"/>
                <w:sz w:val="19"/>
                <w:szCs w:val="19"/>
              </w:rPr>
              <w:t xml:space="preserve"> e Governança Corporativa</w:t>
            </w:r>
            <w:r w:rsidRPr="00BB722A">
              <w:rPr>
                <w:rFonts w:ascii="Tahoma" w:eastAsia="Calibri" w:hAnsi="Tahoma" w:cs="Tahoma"/>
                <w:sz w:val="19"/>
                <w:szCs w:val="19"/>
              </w:rPr>
              <w:t>:</w:t>
            </w:r>
          </w:p>
        </w:tc>
      </w:tr>
      <w:tr w:rsidR="00BB722A" w:rsidRPr="00EC3ADE" w14:paraId="14754FD6" w14:textId="77777777" w:rsidTr="00B56AD6">
        <w:tc>
          <w:tcPr>
            <w:tcW w:w="4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D5847" w14:textId="77777777" w:rsidR="00BB722A" w:rsidRPr="00BB722A" w:rsidRDefault="00BB722A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</w:p>
        </w:tc>
        <w:tc>
          <w:tcPr>
            <w:tcW w:w="90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49A6" w14:textId="1A49B56E" w:rsidR="00D1314F" w:rsidRPr="00374A2E" w:rsidRDefault="00353145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  <w:highlight w:val="yellow"/>
              </w:rPr>
            </w:pPr>
            <w:r w:rsidRPr="00DF4C7E">
              <w:rPr>
                <w:rFonts w:ascii="Tahoma" w:eastAsia="Calibri" w:hAnsi="Tahoma" w:cs="Tahoma"/>
                <w:sz w:val="19"/>
                <w:szCs w:val="19"/>
              </w:rPr>
              <w:t>Luis Manuel Rebelo Fernandes</w:t>
            </w:r>
          </w:p>
          <w:p w14:paraId="1B364571" w14:textId="6E020792" w:rsidR="00BB722A" w:rsidRPr="00382653" w:rsidRDefault="00382653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imes New Roman" w:eastAsia="SimSun" w:hAnsi="Times New Roman" w:cs="Calibri"/>
                <w:kern w:val="3"/>
                <w:lang w:bidi="hi-IN"/>
              </w:rPr>
            </w:pPr>
            <w:r w:rsidRPr="00382653">
              <w:rPr>
                <w:rFonts w:ascii="Tahoma" w:eastAsia="Calibri" w:hAnsi="Tahoma" w:cs="Tahoma"/>
                <w:sz w:val="19"/>
                <w:szCs w:val="19"/>
              </w:rPr>
              <w:t>Ana Cristina Rosado Carneiro</w:t>
            </w:r>
          </w:p>
          <w:p w14:paraId="26D611E6" w14:textId="77777777" w:rsidR="009953CD" w:rsidRDefault="009953CD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  <w:r w:rsidRPr="009953CD">
              <w:rPr>
                <w:rFonts w:ascii="Tahoma" w:eastAsia="Calibri" w:hAnsi="Tahoma" w:cs="Tahoma"/>
                <w:sz w:val="19"/>
                <w:szCs w:val="19"/>
              </w:rPr>
              <w:t>J</w:t>
            </w:r>
            <w:r w:rsidR="00B56AD6">
              <w:rPr>
                <w:rFonts w:ascii="Tahoma" w:eastAsia="Calibri" w:hAnsi="Tahoma" w:cs="Tahoma"/>
                <w:sz w:val="19"/>
                <w:szCs w:val="19"/>
              </w:rPr>
              <w:t>ussara Kele Araujo Valadares</w:t>
            </w:r>
          </w:p>
          <w:p w14:paraId="3F9B940C" w14:textId="77777777" w:rsidR="00B56AD6" w:rsidRDefault="00B56AD6" w:rsidP="00B56AD6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  <w:r w:rsidRPr="009953CD">
              <w:rPr>
                <w:rFonts w:ascii="Tahoma" w:eastAsia="Calibri" w:hAnsi="Tahoma" w:cs="Tahoma"/>
                <w:sz w:val="19"/>
                <w:szCs w:val="19"/>
              </w:rPr>
              <w:t>M</w:t>
            </w:r>
            <w:r>
              <w:rPr>
                <w:rFonts w:ascii="Tahoma" w:eastAsia="Calibri" w:hAnsi="Tahoma" w:cs="Tahoma"/>
                <w:sz w:val="19"/>
                <w:szCs w:val="19"/>
              </w:rPr>
              <w:t>arcos Dantas Loureiro</w:t>
            </w:r>
          </w:p>
          <w:p w14:paraId="780B8924" w14:textId="77777777" w:rsidR="00B56AD6" w:rsidRDefault="00B56AD6" w:rsidP="00B56AD6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  <w:r w:rsidRPr="00382653">
              <w:rPr>
                <w:rFonts w:ascii="Tahoma" w:eastAsia="Calibri" w:hAnsi="Tahoma" w:cs="Tahoma"/>
                <w:sz w:val="19"/>
                <w:szCs w:val="19"/>
              </w:rPr>
              <w:t>Miguel Ragone de Mattos</w:t>
            </w:r>
          </w:p>
          <w:p w14:paraId="42BADDDA" w14:textId="77777777" w:rsidR="00B56AD6" w:rsidRPr="00382653" w:rsidRDefault="00B56AD6" w:rsidP="00B56AD6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  <w:r w:rsidRPr="009953CD">
              <w:rPr>
                <w:rFonts w:ascii="Tahoma" w:eastAsia="Calibri" w:hAnsi="Tahoma" w:cs="Tahoma"/>
                <w:sz w:val="19"/>
                <w:szCs w:val="19"/>
              </w:rPr>
              <w:t>R</w:t>
            </w:r>
            <w:r>
              <w:rPr>
                <w:rFonts w:ascii="Tahoma" w:eastAsia="Calibri" w:hAnsi="Tahoma" w:cs="Tahoma"/>
                <w:sz w:val="19"/>
                <w:szCs w:val="19"/>
              </w:rPr>
              <w:t>ubens Diniz Tavares</w:t>
            </w:r>
          </w:p>
          <w:p w14:paraId="76A78A66" w14:textId="79DF994F" w:rsidR="00B56AD6" w:rsidRPr="00EC3ADE" w:rsidRDefault="00B56AD6" w:rsidP="00B56AD6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imes New Roman" w:eastAsia="SimSun" w:hAnsi="Times New Roman" w:cs="Calibri"/>
                <w:kern w:val="3"/>
                <w:lang w:bidi="hi-IN"/>
              </w:rPr>
            </w:pPr>
            <w:r w:rsidRPr="009953CD">
              <w:rPr>
                <w:rFonts w:ascii="Tahoma" w:eastAsia="Calibri" w:hAnsi="Tahoma" w:cs="Tahoma"/>
                <w:sz w:val="19"/>
                <w:szCs w:val="19"/>
              </w:rPr>
              <w:t>S</w:t>
            </w:r>
            <w:r>
              <w:rPr>
                <w:rFonts w:ascii="Tahoma" w:eastAsia="Calibri" w:hAnsi="Tahoma" w:cs="Tahoma"/>
                <w:sz w:val="19"/>
                <w:szCs w:val="19"/>
              </w:rPr>
              <w:t>ergio Machado Rezende</w:t>
            </w:r>
          </w:p>
        </w:tc>
      </w:tr>
      <w:tr w:rsidR="007244AB" w:rsidRPr="00B56AD6" w14:paraId="5AECF00B" w14:textId="77777777" w:rsidTr="00B56AD6">
        <w:tc>
          <w:tcPr>
            <w:tcW w:w="240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6CD4B" w14:textId="77777777" w:rsidR="00B56AD6" w:rsidRDefault="00B56AD6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</w:p>
          <w:p w14:paraId="7FB96CD7" w14:textId="77777777" w:rsidR="00B56AD6" w:rsidRPr="00B56AD6" w:rsidRDefault="00B56AD6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</w:p>
          <w:p w14:paraId="1CA4EB6D" w14:textId="3B8FF856" w:rsidR="007244AB" w:rsidRPr="00B56AD6" w:rsidRDefault="007244AB" w:rsidP="007244AB">
            <w:pPr>
              <w:suppressAutoHyphens/>
              <w:autoSpaceDN w:val="0"/>
              <w:spacing w:before="120" w:after="120" w:line="240" w:lineRule="auto"/>
              <w:rPr>
                <w:rFonts w:ascii="Tahoma" w:eastAsia="Calibri" w:hAnsi="Tahoma" w:cs="Tahoma"/>
                <w:sz w:val="19"/>
                <w:szCs w:val="19"/>
              </w:rPr>
            </w:pPr>
            <w:r w:rsidRPr="00B56AD6">
              <w:rPr>
                <w:rFonts w:ascii="Tahoma" w:eastAsia="Calibri" w:hAnsi="Tahoma" w:cs="Tahoma"/>
                <w:sz w:val="19"/>
                <w:szCs w:val="19"/>
              </w:rPr>
              <w:t>Data de divulgação:</w:t>
            </w:r>
          </w:p>
        </w:tc>
        <w:tc>
          <w:tcPr>
            <w:tcW w:w="70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256BB" w14:textId="77777777" w:rsidR="00B56AD6" w:rsidRDefault="00B56AD6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</w:p>
          <w:p w14:paraId="71337783" w14:textId="77777777" w:rsidR="00B56AD6" w:rsidRPr="00B56AD6" w:rsidRDefault="00B56AD6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</w:p>
          <w:p w14:paraId="7DE87C13" w14:textId="63E52BD5" w:rsidR="007244AB" w:rsidRPr="00B56AD6" w:rsidRDefault="006C5A8B" w:rsidP="007244AB">
            <w:pPr>
              <w:suppressAutoHyphens/>
              <w:autoSpaceDN w:val="0"/>
              <w:spacing w:before="120" w:after="120" w:line="240" w:lineRule="auto"/>
              <w:ind w:left="313" w:hanging="313"/>
              <w:jc w:val="both"/>
              <w:rPr>
                <w:rFonts w:ascii="Tahoma" w:eastAsia="Calibri" w:hAnsi="Tahoma" w:cs="Tahoma"/>
                <w:sz w:val="19"/>
                <w:szCs w:val="19"/>
              </w:rPr>
            </w:pPr>
            <w:r>
              <w:rPr>
                <w:rFonts w:ascii="Tahoma" w:eastAsia="Calibri" w:hAnsi="Tahoma" w:cs="Tahoma"/>
                <w:sz w:val="19"/>
                <w:szCs w:val="19"/>
              </w:rPr>
              <w:t>29</w:t>
            </w:r>
            <w:r w:rsidR="007244AB" w:rsidRPr="00B56AD6">
              <w:rPr>
                <w:rFonts w:ascii="Tahoma" w:eastAsia="Calibri" w:hAnsi="Tahoma" w:cs="Tahoma"/>
                <w:sz w:val="19"/>
                <w:szCs w:val="19"/>
              </w:rPr>
              <w:t xml:space="preserve"> de maio de 202</w:t>
            </w:r>
            <w:r w:rsidR="00636232" w:rsidRPr="00B56AD6">
              <w:rPr>
                <w:rFonts w:ascii="Tahoma" w:eastAsia="Calibri" w:hAnsi="Tahoma" w:cs="Tahoma"/>
                <w:sz w:val="19"/>
                <w:szCs w:val="19"/>
              </w:rPr>
              <w:t>4</w:t>
            </w:r>
          </w:p>
        </w:tc>
      </w:tr>
    </w:tbl>
    <w:p w14:paraId="2B3E7B23" w14:textId="77777777" w:rsidR="00BB722A" w:rsidRPr="00B56AD6" w:rsidRDefault="00BB722A" w:rsidP="00BB722A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eastAsia="pt-BR"/>
        </w:rPr>
      </w:pPr>
    </w:p>
    <w:p w14:paraId="74E3601D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1706B0C7" w14:textId="51EB3178" w:rsidR="007133F4" w:rsidRPr="00A72892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  <w:sectPr w:rsidR="007133F4" w:rsidRPr="00A72892" w:rsidSect="00716131">
          <w:headerReference w:type="default" r:id="rId12"/>
          <w:pgSz w:w="11906" w:h="16838"/>
          <w:pgMar w:top="1134" w:right="1134" w:bottom="992" w:left="1134" w:header="709" w:footer="709" w:gutter="0"/>
          <w:cols w:space="720"/>
          <w:docGrid w:linePitch="299"/>
        </w:sectPr>
      </w:pPr>
    </w:p>
    <w:p w14:paraId="76B88B92" w14:textId="77777777" w:rsidR="00A72892" w:rsidRPr="00A72892" w:rsidRDefault="00A72892" w:rsidP="00A72892">
      <w:pPr>
        <w:keepNext/>
        <w:keepLines/>
        <w:suppressAutoHyphens/>
        <w:spacing w:before="120" w:after="120" w:line="360" w:lineRule="auto"/>
        <w:rPr>
          <w:rFonts w:ascii="Calibri Light" w:eastAsia="Times New Roman" w:hAnsi="Calibri Light" w:cs="Times New Roman"/>
          <w:color w:val="005051"/>
          <w:sz w:val="32"/>
          <w:szCs w:val="32"/>
          <w:lang w:eastAsia="pt-BR"/>
        </w:rPr>
      </w:pPr>
      <w:r w:rsidRPr="00A72892">
        <w:rPr>
          <w:rFonts w:ascii="Tahoma" w:eastAsia="Times New Roman" w:hAnsi="Tahoma" w:cs="Tahoma"/>
          <w:color w:val="005051"/>
          <w:sz w:val="32"/>
          <w:szCs w:val="32"/>
          <w:lang w:eastAsia="pt-BR"/>
        </w:rPr>
        <w:lastRenderedPageBreak/>
        <w:t>SUMÁRIO</w:t>
      </w:r>
    </w:p>
    <w:p w14:paraId="6F945F32" w14:textId="6496B092" w:rsidR="0078272B" w:rsidRPr="0078272B" w:rsidRDefault="00A7289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r w:rsidRPr="0078272B">
        <w:rPr>
          <w:rFonts w:ascii="Tahoma" w:hAnsi="Tahoma" w:cs="Tahoma"/>
          <w:sz w:val="19"/>
          <w:szCs w:val="19"/>
          <w:lang w:eastAsia="pt-BR"/>
        </w:rPr>
        <w:fldChar w:fldCharType="begin"/>
      </w:r>
      <w:r w:rsidRPr="0078272B">
        <w:rPr>
          <w:rFonts w:ascii="Tahoma" w:hAnsi="Tahoma" w:cs="Tahoma"/>
          <w:sz w:val="19"/>
          <w:szCs w:val="19"/>
          <w:lang w:eastAsia="pt-BR"/>
        </w:rPr>
        <w:instrText xml:space="preserve"> TOC \o "1-3" \u \h </w:instrText>
      </w:r>
      <w:r w:rsidRPr="0078272B">
        <w:rPr>
          <w:rFonts w:ascii="Tahoma" w:hAnsi="Tahoma" w:cs="Tahoma"/>
          <w:sz w:val="19"/>
          <w:szCs w:val="19"/>
          <w:lang w:eastAsia="pt-BR"/>
        </w:rPr>
        <w:fldChar w:fldCharType="separate"/>
      </w:r>
      <w:hyperlink w:anchor="_Toc166575243" w:history="1">
        <w:r w:rsidR="0078272B" w:rsidRPr="0078272B">
          <w:rPr>
            <w:rStyle w:val="Hyperlink"/>
            <w:rFonts w:ascii="Tahoma" w:eastAsia="Times New Roman" w:hAnsi="Tahoma" w:cs="Tahoma"/>
            <w:b/>
            <w:bCs/>
            <w:noProof/>
            <w:sz w:val="19"/>
            <w:szCs w:val="19"/>
            <w:lang w:eastAsia="pt-BR"/>
          </w:rPr>
          <w:t>1.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b/>
            <w:bCs/>
            <w:noProof/>
            <w:sz w:val="19"/>
            <w:szCs w:val="19"/>
            <w:lang w:eastAsia="pt-BR"/>
          </w:rPr>
          <w:t>Políticas públicas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_Toc166575243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 w:rsidR="004E3BD2">
          <w:rPr>
            <w:rFonts w:ascii="Tahoma" w:hAnsi="Tahoma" w:cs="Tahoma"/>
            <w:noProof/>
            <w:sz w:val="19"/>
            <w:szCs w:val="19"/>
          </w:rPr>
          <w:t>1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2A15074A" w14:textId="4A58B51D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4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1.1.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Interesse público subjacente às atividades empresariais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_Toc166575244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1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03C55AC2" w14:textId="640DD291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5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1.2.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Políticas Públicas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_Toc166575245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453772C8" w14:textId="0A2D3863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6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1.3.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Metas relativas ao desenvolvimento de atividades que atendam aos objetivos das políticas públicas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_Toc166575246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5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7B3B463C" w14:textId="32254B09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7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1.4.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Recursos para o custeio da política pública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_Toc166575247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7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2C0254FF" w14:textId="66B9062F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8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1.5.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Impactos econômico-financeiros da operacionalização da política pública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_Toc166575248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10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7083955F" w14:textId="2259B123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49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1.6.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Comentários dos administradores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_Toc166575249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13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03065C72" w14:textId="5A3C255C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0" w:history="1">
        <w:r w:rsidR="0078272B" w:rsidRPr="0078272B">
          <w:rPr>
            <w:rStyle w:val="Hyperlink"/>
            <w:rFonts w:ascii="Tahoma" w:eastAsia="Times New Roman" w:hAnsi="Tahoma" w:cs="Tahoma"/>
            <w:b/>
            <w:bCs/>
            <w:noProof/>
            <w:sz w:val="19"/>
            <w:szCs w:val="19"/>
            <w:lang w:eastAsia="pt-BR"/>
          </w:rPr>
          <w:t>2.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b/>
            <w:bCs/>
            <w:noProof/>
            <w:sz w:val="19"/>
            <w:szCs w:val="19"/>
            <w:lang w:eastAsia="pt-BR"/>
          </w:rPr>
          <w:t>Governança corporativa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_Toc166575250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18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26152981" w14:textId="43F5FAB6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1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2.1.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Atividades desenvolvidas pela empresa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_Toc166575251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18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14E5F42A" w14:textId="66ADD138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2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2.2.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Estruturas de controles internos e gerenciamento de risco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_Toc166575252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20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54D49F83" w14:textId="7EC4A231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3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2.3.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Fatores de risco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_Toc166575253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21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7BF83D87" w14:textId="098F35E7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4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2.4.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Dados econômico-financeiros e comentários sobre o desempenho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_Toc166575254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23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7D5D552E" w14:textId="48BB94AA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5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2.5.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Políticas e práticas de governança corporativa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_Toc166575255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24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0099D0B5" w14:textId="2B887EC8" w:rsidR="0078272B" w:rsidRPr="0078272B" w:rsidRDefault="004E3BD2" w:rsidP="0078272B">
      <w:pPr>
        <w:pStyle w:val="Sumrio1"/>
        <w:spacing w:line="360" w:lineRule="auto"/>
        <w:rPr>
          <w:rFonts w:ascii="Tahoma" w:eastAsiaTheme="minorEastAsia" w:hAnsi="Tahoma" w:cs="Tahoma"/>
          <w:noProof/>
          <w:kern w:val="2"/>
          <w:sz w:val="19"/>
          <w:szCs w:val="19"/>
          <w:lang w:eastAsia="pt-BR"/>
          <w14:ligatures w14:val="standardContextual"/>
        </w:rPr>
      </w:pPr>
      <w:hyperlink w:anchor="_Toc166575256" w:history="1"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2.6.</w:t>
        </w:r>
        <w:r w:rsidR="0078272B" w:rsidRPr="0078272B">
          <w:rPr>
            <w:rFonts w:ascii="Tahoma" w:eastAsiaTheme="minorEastAsia" w:hAnsi="Tahoma" w:cs="Tahoma"/>
            <w:noProof/>
            <w:kern w:val="2"/>
            <w:sz w:val="19"/>
            <w:szCs w:val="19"/>
            <w:lang w:eastAsia="pt-BR"/>
            <w14:ligatures w14:val="standardContextual"/>
          </w:rPr>
          <w:tab/>
        </w:r>
        <w:r w:rsidR="0078272B" w:rsidRPr="0078272B">
          <w:rPr>
            <w:rStyle w:val="Hyperlink"/>
            <w:rFonts w:ascii="Tahoma" w:eastAsia="Times New Roman" w:hAnsi="Tahoma" w:cs="Tahoma"/>
            <w:noProof/>
            <w:sz w:val="19"/>
            <w:szCs w:val="19"/>
            <w:lang w:eastAsia="pt-BR"/>
          </w:rPr>
          <w:t>Descrição da composição da remuneração da administração e do Conselho Fiscal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tab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begin"/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instrText xml:space="preserve"> PAGEREF _Toc166575256 \h </w:instrText>
        </w:r>
        <w:r w:rsidR="0078272B" w:rsidRPr="0078272B">
          <w:rPr>
            <w:rFonts w:ascii="Tahoma" w:hAnsi="Tahoma" w:cs="Tahoma"/>
            <w:noProof/>
            <w:sz w:val="19"/>
            <w:szCs w:val="19"/>
          </w:rPr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separate"/>
        </w:r>
        <w:r>
          <w:rPr>
            <w:rFonts w:ascii="Tahoma" w:hAnsi="Tahoma" w:cs="Tahoma"/>
            <w:noProof/>
            <w:sz w:val="19"/>
            <w:szCs w:val="19"/>
          </w:rPr>
          <w:t>25</w:t>
        </w:r>
        <w:r w:rsidR="0078272B" w:rsidRPr="0078272B">
          <w:rPr>
            <w:rFonts w:ascii="Tahoma" w:hAnsi="Tahoma" w:cs="Tahoma"/>
            <w:noProof/>
            <w:sz w:val="19"/>
            <w:szCs w:val="19"/>
          </w:rPr>
          <w:fldChar w:fldCharType="end"/>
        </w:r>
      </w:hyperlink>
    </w:p>
    <w:p w14:paraId="58FAC733" w14:textId="27E86122" w:rsidR="00A72892" w:rsidRPr="00E3379D" w:rsidRDefault="00A72892" w:rsidP="0078272B">
      <w:pPr>
        <w:tabs>
          <w:tab w:val="left" w:pos="426"/>
          <w:tab w:val="right" w:leader="dot" w:pos="9746"/>
        </w:tabs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  <w:r w:rsidRPr="0078272B">
        <w:rPr>
          <w:rFonts w:ascii="Tahoma" w:eastAsia="Times New Roman" w:hAnsi="Tahoma" w:cs="Tahoma"/>
          <w:sz w:val="19"/>
          <w:szCs w:val="19"/>
          <w:lang w:eastAsia="pt-BR"/>
        </w:rPr>
        <w:fldChar w:fldCharType="end"/>
      </w:r>
    </w:p>
    <w:p w14:paraId="78ACFA53" w14:textId="1ED08E0D" w:rsidR="00A72892" w:rsidRPr="00A72892" w:rsidRDefault="00A72892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1F0C340C" w14:textId="77777777" w:rsidR="00A72892" w:rsidRPr="00A72892" w:rsidRDefault="00A72892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70826F67" w14:textId="5D8C5F67" w:rsidR="00A72892" w:rsidRDefault="00A72892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1DC29CCB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517722AD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04F99272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7800DFE7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48555457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415FB068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73AB6376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369DD754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0B959FC3" w14:textId="77777777" w:rsidR="007133F4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3235676F" w14:textId="061EAE7F" w:rsidR="007133F4" w:rsidRPr="00A72892" w:rsidRDefault="007133F4" w:rsidP="00A7289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  <w:sectPr w:rsidR="007133F4" w:rsidRPr="00A72892" w:rsidSect="00716131">
          <w:footerReference w:type="default" r:id="rId13"/>
          <w:pgSz w:w="11906" w:h="16838"/>
          <w:pgMar w:top="1440" w:right="1080" w:bottom="1440" w:left="1080" w:header="720" w:footer="720" w:gutter="0"/>
          <w:cols w:space="720"/>
        </w:sectPr>
      </w:pPr>
    </w:p>
    <w:p w14:paraId="6526D592" w14:textId="77777777" w:rsidR="00B23392" w:rsidRPr="007752C3" w:rsidRDefault="00B23392" w:rsidP="00106340">
      <w:pPr>
        <w:pStyle w:val="PargrafodaLista"/>
        <w:keepNext/>
        <w:keepLines/>
        <w:numPr>
          <w:ilvl w:val="0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b/>
          <w:bCs/>
          <w:color w:val="DD4F0B"/>
          <w:sz w:val="24"/>
          <w:szCs w:val="24"/>
          <w:lang w:eastAsia="pt-BR"/>
        </w:rPr>
      </w:pPr>
      <w:bookmarkStart w:id="0" w:name="_Toc166575243"/>
      <w:r w:rsidRPr="007752C3">
        <w:rPr>
          <w:rFonts w:ascii="Tahoma" w:eastAsia="Times New Roman" w:hAnsi="Tahoma" w:cs="Tahoma"/>
          <w:b/>
          <w:bCs/>
          <w:color w:val="DD4F0B"/>
          <w:sz w:val="24"/>
          <w:szCs w:val="24"/>
          <w:lang w:eastAsia="pt-BR"/>
        </w:rPr>
        <w:lastRenderedPageBreak/>
        <w:t>Políticas públicas</w:t>
      </w:r>
      <w:bookmarkEnd w:id="0"/>
    </w:p>
    <w:p w14:paraId="1DDC386E" w14:textId="77777777" w:rsidR="00B23392" w:rsidRPr="007752C3" w:rsidRDefault="00B23392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1" w:name="_Toc166575244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Interesse público subjacente às atividades empresariais</w:t>
      </w:r>
      <w:bookmarkEnd w:id="1"/>
    </w:p>
    <w:p w14:paraId="2CE342EF" w14:textId="77777777" w:rsidR="007C0DDE" w:rsidRDefault="007C0DDE" w:rsidP="005E03B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7C0DD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importância do papel do Estado na promoção da Ciência, Tecnologia e Inovação (CT&amp;I) é reconhecida pela Constituição Federal de 1988, que em seu artigo 218º determina que “o Estado promoverá e incentivará o desenvolvimento científico, a pesquisa, a capacitação científica e tecnológica e a inovação” e que “a pesquisa científica básica e tecnológica receberá tratamento prioritário do Estado, tendo em vista o bem público e o progresso da ciência, tecnologia e inovação” (caput e parágrafo 1º). </w:t>
      </w:r>
    </w:p>
    <w:p w14:paraId="14F21C1C" w14:textId="3F5AB687" w:rsidR="007C0DDE" w:rsidRDefault="00905ABB" w:rsidP="005E03B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Complementarmente,</w:t>
      </w:r>
      <w:r w:rsidR="007C0DD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no parágrafo único do artigo 219, a Constituição prevê que o “</w:t>
      </w:r>
      <w:r w:rsidR="007C0DDE" w:rsidRPr="007C0DDE">
        <w:rPr>
          <w:rFonts w:ascii="Tahoma" w:eastAsia="SimSun" w:hAnsi="Tahoma" w:cs="Tahoma"/>
          <w:kern w:val="3"/>
          <w:sz w:val="19"/>
          <w:szCs w:val="19"/>
          <w:lang w:bidi="hi-IN"/>
        </w:rPr>
        <w:t>Estado estimulará a formação e o fortalecimento da inovação nas empresas, bem como nos demais entes, públicos ou privados, a constituição e a manutenção de parques e polos tecnológicos e de demais ambientes promotores da inovação, a atuação dos inventores independentes e a criação, absorção, difusão e transferência de tecnologia</w:t>
      </w:r>
      <w:r w:rsidR="007C0DDE">
        <w:rPr>
          <w:rFonts w:ascii="Tahoma" w:eastAsia="SimSun" w:hAnsi="Tahoma" w:cs="Tahoma"/>
          <w:kern w:val="3"/>
          <w:sz w:val="19"/>
          <w:szCs w:val="19"/>
          <w:lang w:bidi="hi-IN"/>
        </w:rPr>
        <w:t>.”</w:t>
      </w:r>
    </w:p>
    <w:p w14:paraId="5E58623C" w14:textId="58DDF52E" w:rsidR="00BB1CE3" w:rsidRDefault="005E03BB" w:rsidP="00BB1CE3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</w:t>
      </w:r>
      <w:r w:rsidR="00BB1CE3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Financiadora de Estudos e Projetos – Finep</w:t>
      </w:r>
      <w:r w:rsidR="00BB1CE3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>é uma empresa pública de direito privado, sendo a União sua controladora integral. Em função de sua natureza jurídica, integra a administração indireta da esfera Federal, seguindo, no que cabe, as normas aplicáveis ao setor público. Por ser dotada ainda de personalidade jurídica de direito privado, sujeita-se igualmente às regras aplicáveis às empresas privadas</w:t>
      </w:r>
      <w:r w:rsid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>no que concerne às obrigações comerciais, cíveis, trabalhistas e tributárias definidas pela Constituição Federal.</w:t>
      </w:r>
      <w:r w:rsidR="00BB1CE3" w:rsidRPr="00BB1CE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BB1CE3">
        <w:rPr>
          <w:rFonts w:ascii="Tahoma" w:eastAsia="SimSun" w:hAnsi="Tahoma" w:cs="Tahoma"/>
          <w:kern w:val="3"/>
          <w:sz w:val="19"/>
          <w:szCs w:val="19"/>
          <w:lang w:bidi="hi-IN"/>
        </w:rPr>
        <w:t>V</w:t>
      </w:r>
      <w:r w:rsidR="00BB1CE3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inculada ao Ministério da Ciência, Tecnologia e Inovaç</w:t>
      </w:r>
      <w:r w:rsidR="00BB1CE3">
        <w:rPr>
          <w:rFonts w:ascii="Tahoma" w:eastAsia="SimSun" w:hAnsi="Tahoma" w:cs="Tahoma"/>
          <w:kern w:val="3"/>
          <w:sz w:val="19"/>
          <w:szCs w:val="19"/>
          <w:lang w:bidi="hi-IN"/>
        </w:rPr>
        <w:t>ão</w:t>
      </w:r>
      <w:r w:rsidR="00BB1CE3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(MCTI)</w:t>
      </w:r>
      <w:r w:rsidR="00BB1CE3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1"/>
      </w:r>
      <w:r w:rsidR="00BB1CE3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</w:t>
      </w:r>
      <w:r w:rsidR="00BB1CE3">
        <w:rPr>
          <w:rFonts w:ascii="Tahoma" w:eastAsia="SimSun" w:hAnsi="Tahoma" w:cs="Tahoma"/>
          <w:kern w:val="3"/>
          <w:sz w:val="19"/>
          <w:szCs w:val="19"/>
          <w:lang w:bidi="hi-IN"/>
        </w:rPr>
        <w:t>te</w:t>
      </w:r>
      <w:r w:rsidR="00BB1CE3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m como missão </w:t>
      </w:r>
      <w:r w:rsidR="00BB1CE3" w:rsidRPr="00C21686">
        <w:rPr>
          <w:rFonts w:ascii="Tahoma" w:eastAsia="SimSun" w:hAnsi="Tahoma" w:cs="Tahoma"/>
          <w:b/>
          <w:bCs/>
          <w:color w:val="DD4F0B"/>
          <w:kern w:val="3"/>
          <w:sz w:val="19"/>
          <w:szCs w:val="19"/>
          <w:lang w:bidi="hi-IN"/>
        </w:rPr>
        <w:t>a promoção do desenvolvimento econômico e social do Brasil por meio do fomento público à CT&amp;I</w:t>
      </w:r>
      <w:r w:rsidR="00BB1CE3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09E4AE34" w14:textId="5FB6245A" w:rsidR="006D1422" w:rsidRDefault="006D1422" w:rsidP="006D142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C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aracteriza-se </w:t>
      </w:r>
      <w:r w:rsidR="00C57F6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ainda 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>como uma das Agências Oficiais de Fomento, integrante do Sistema Nacional de Fomento (SNF)</w:t>
      </w:r>
      <w:r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2"/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com atuação estratégica e articulada com os demais entes públicos de fomento, alavancando quando possível recursos privados. Atua na promoção do desenvolvimento econômico e sustentável, observadas as metas e prioridades setoriais estabelecidas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nas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C57F63">
        <w:rPr>
          <w:rFonts w:ascii="Tahoma" w:eastAsia="SimSun" w:hAnsi="Tahoma" w:cs="Tahoma"/>
          <w:kern w:val="3"/>
          <w:sz w:val="19"/>
          <w:szCs w:val="19"/>
          <w:lang w:bidi="hi-IN"/>
        </w:rPr>
        <w:t>p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olíticas </w:t>
      </w:r>
      <w:r w:rsidR="00C57F63">
        <w:rPr>
          <w:rFonts w:ascii="Tahoma" w:eastAsia="SimSun" w:hAnsi="Tahoma" w:cs="Tahoma"/>
          <w:kern w:val="3"/>
          <w:sz w:val="19"/>
          <w:szCs w:val="19"/>
          <w:lang w:bidi="hi-IN"/>
        </w:rPr>
        <w:t>p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>úblicas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do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segmento CT&amp;I, em consonância com o art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igo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218 da Constituição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174D50DE" w14:textId="1D76A3A0" w:rsidR="00812306" w:rsidRPr="008378EE" w:rsidRDefault="00B67D00" w:rsidP="0029179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A empresa foi c</w:t>
      </w:r>
      <w:r w:rsidR="00291796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riada pelo Decreto nº 61.056, de 24 de julho de 1967, com autorização concedida pelo artigo 191 do Decreto-Lei nº 200, de 25 d</w:t>
      </w:r>
      <w:r w:rsidR="0029179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 fevereiro de </w:t>
      </w:r>
      <w:r w:rsidR="00291796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1967, para exercer “todas </w:t>
      </w:r>
      <w:r w:rsidR="00291796"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>as atividades correlatadas de financiamento de projetos e programas e de prestação de assistência técnica essenciais ao planejamento econômico e social”</w:t>
      </w:r>
      <w:r w:rsidR="00812306"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.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Em seu </w:t>
      </w:r>
      <w:r w:rsidR="00812306"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primeiro estatuto, publicado em anexo ao </w:t>
      </w:r>
      <w:r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Decreto nº 61.056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/1967</w:t>
      </w:r>
      <w:r w:rsidR="00812306"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>, o interesse coletivo que justificou sua criação é apresentado da seguinte forma:</w:t>
      </w:r>
    </w:p>
    <w:p w14:paraId="73959973" w14:textId="74CD67D3" w:rsidR="00812306" w:rsidRPr="008378EE" w:rsidRDefault="00812306" w:rsidP="00B2028C">
      <w:pPr>
        <w:widowControl w:val="0"/>
        <w:suppressAutoHyphens/>
        <w:autoSpaceDN w:val="0"/>
        <w:spacing w:before="120" w:after="120" w:line="240" w:lineRule="auto"/>
        <w:ind w:left="1418"/>
        <w:jc w:val="both"/>
        <w:textAlignment w:val="baseline"/>
        <w:rPr>
          <w:rFonts w:ascii="Tahoma" w:hAnsi="Tahoma" w:cs="Tahoma"/>
          <w:sz w:val="18"/>
          <w:szCs w:val="18"/>
        </w:rPr>
      </w:pPr>
      <w:r w:rsidRPr="008378EE">
        <w:rPr>
          <w:rFonts w:ascii="Tahoma" w:hAnsi="Tahoma" w:cs="Tahoma"/>
          <w:sz w:val="18"/>
          <w:szCs w:val="18"/>
        </w:rPr>
        <w:t>§ 1º A FINEP aplicará prioritàriamente os recursos de que disponha nos estudos que visem implementação das metas setoriais estabelecidas no plano de ação do Govêrno, elaborado sob a responsabilidade do Ministério do Planejamento e Coordenação-Geral.</w:t>
      </w:r>
    </w:p>
    <w:p w14:paraId="7A695D37" w14:textId="53D100A3" w:rsidR="00B2028C" w:rsidRDefault="00812306" w:rsidP="00B2028C">
      <w:pPr>
        <w:widowControl w:val="0"/>
        <w:suppressAutoHyphens/>
        <w:autoSpaceDN w:val="0"/>
        <w:spacing w:before="120" w:after="120" w:line="240" w:lineRule="auto"/>
        <w:ind w:left="1418"/>
        <w:jc w:val="both"/>
        <w:textAlignment w:val="baseline"/>
        <w:rPr>
          <w:rFonts w:ascii="Tahoma" w:hAnsi="Tahoma" w:cs="Tahoma"/>
          <w:sz w:val="18"/>
          <w:szCs w:val="18"/>
        </w:rPr>
      </w:pPr>
      <w:r w:rsidRPr="008378EE">
        <w:rPr>
          <w:rFonts w:ascii="Tahoma" w:hAnsi="Tahoma" w:cs="Tahoma"/>
          <w:sz w:val="18"/>
          <w:szCs w:val="18"/>
        </w:rPr>
        <w:t>§ 2º A FINEP atuará no sentido de elevar o padrão da tecnologia nacional, particularmente no que concerne à programação e ao projetamento econômico, ao estudo de recursos naturais e aos serviços de assistência técnica.</w:t>
      </w:r>
      <w:r w:rsidR="00E9178A">
        <w:rPr>
          <w:rFonts w:ascii="Tahoma" w:hAnsi="Tahoma" w:cs="Tahoma"/>
          <w:sz w:val="18"/>
          <w:szCs w:val="18"/>
        </w:rPr>
        <w:t xml:space="preserve"> </w:t>
      </w:r>
      <w:r w:rsidRPr="008378EE">
        <w:rPr>
          <w:rFonts w:ascii="Tahoma" w:hAnsi="Tahoma" w:cs="Tahoma"/>
          <w:sz w:val="18"/>
          <w:szCs w:val="18"/>
        </w:rPr>
        <w:t>(</w:t>
      </w:r>
      <w:r w:rsidR="00A443A1" w:rsidRPr="008378EE">
        <w:rPr>
          <w:rFonts w:ascii="Tahoma" w:hAnsi="Tahoma" w:cs="Tahoma"/>
          <w:sz w:val="18"/>
          <w:szCs w:val="18"/>
        </w:rPr>
        <w:t>A</w:t>
      </w:r>
      <w:r w:rsidRPr="008378EE">
        <w:rPr>
          <w:rFonts w:ascii="Tahoma" w:hAnsi="Tahoma" w:cs="Tahoma"/>
          <w:sz w:val="18"/>
          <w:szCs w:val="18"/>
        </w:rPr>
        <w:t>rt</w:t>
      </w:r>
      <w:r w:rsidR="006D1422">
        <w:rPr>
          <w:rFonts w:ascii="Tahoma" w:hAnsi="Tahoma" w:cs="Tahoma"/>
          <w:sz w:val="18"/>
          <w:szCs w:val="18"/>
        </w:rPr>
        <w:t>.</w:t>
      </w:r>
      <w:r w:rsidRPr="008378EE">
        <w:rPr>
          <w:rFonts w:ascii="Tahoma" w:hAnsi="Tahoma" w:cs="Tahoma"/>
          <w:sz w:val="18"/>
          <w:szCs w:val="18"/>
        </w:rPr>
        <w:t xml:space="preserve"> </w:t>
      </w:r>
      <w:r w:rsidR="00C547B0" w:rsidRPr="008378EE">
        <w:rPr>
          <w:rFonts w:ascii="Tahoma" w:hAnsi="Tahoma" w:cs="Tahoma"/>
          <w:sz w:val="18"/>
          <w:szCs w:val="18"/>
        </w:rPr>
        <w:t>4</w:t>
      </w:r>
      <w:r w:rsidRPr="008378EE">
        <w:rPr>
          <w:rFonts w:ascii="Tahoma" w:hAnsi="Tahoma" w:cs="Tahoma"/>
          <w:sz w:val="18"/>
          <w:szCs w:val="18"/>
        </w:rPr>
        <w:t xml:space="preserve">º do Estatuto anexo ao Decreto nº 61.056 de 24 de junho de 1967. Disponível em </w:t>
      </w:r>
      <w:hyperlink r:id="rId14" w:history="1">
        <w:r w:rsidRPr="008378EE">
          <w:rPr>
            <w:rStyle w:val="Hyperlink"/>
            <w:rFonts w:ascii="Tahoma" w:hAnsi="Tahoma" w:cs="Tahoma"/>
            <w:sz w:val="18"/>
            <w:szCs w:val="18"/>
          </w:rPr>
          <w:t>https://www.planalto.gov.br/ccivil_03/decreto/1950-1969/D61056.htm</w:t>
        </w:r>
      </w:hyperlink>
      <w:r w:rsidRPr="008378EE">
        <w:rPr>
          <w:rFonts w:ascii="Tahoma" w:hAnsi="Tahoma" w:cs="Tahoma"/>
          <w:sz w:val="18"/>
          <w:szCs w:val="18"/>
        </w:rPr>
        <w:t>, acesso em 24/04/2023).</w:t>
      </w:r>
    </w:p>
    <w:p w14:paraId="171639BB" w14:textId="77777777" w:rsidR="00C57F63" w:rsidRPr="008378EE" w:rsidRDefault="00C57F63" w:rsidP="00B2028C">
      <w:pPr>
        <w:widowControl w:val="0"/>
        <w:suppressAutoHyphens/>
        <w:autoSpaceDN w:val="0"/>
        <w:spacing w:before="120" w:after="120" w:line="240" w:lineRule="auto"/>
        <w:ind w:left="1418"/>
        <w:jc w:val="both"/>
        <w:textAlignment w:val="baseline"/>
        <w:rPr>
          <w:rFonts w:ascii="Tahoma" w:hAnsi="Tahoma" w:cs="Tahoma"/>
          <w:sz w:val="18"/>
          <w:szCs w:val="18"/>
        </w:rPr>
      </w:pPr>
    </w:p>
    <w:p w14:paraId="06AF6CBC" w14:textId="58BC968B" w:rsidR="00291796" w:rsidRDefault="00812306" w:rsidP="0029179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lastRenderedPageBreak/>
        <w:t>D</w:t>
      </w:r>
      <w:r w:rsidR="00291796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>esde a publicação do Decreto n° 68.748, de 15 de junho de 1971, a Finep atua também como Secretaria Executiva do Fundo Nacional de Desenvolvimento Científico e Tecnológico (FNDCT). Atualmente</w:t>
      </w:r>
      <w:r w:rsidR="008378EE">
        <w:rPr>
          <w:rFonts w:ascii="Tahoma" w:eastAsia="SimSun" w:hAnsi="Tahoma" w:cs="Tahoma"/>
          <w:kern w:val="3"/>
          <w:sz w:val="19"/>
          <w:szCs w:val="19"/>
          <w:lang w:bidi="hi-IN"/>
        </w:rPr>
        <w:t>,</w:t>
      </w:r>
      <w:r w:rsidR="00291796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a determinação de que a Finep exerça a função de Secretaria-Executiva do FNDCT encontra-se no artigo 7º da </w:t>
      </w:r>
      <w:bookmarkStart w:id="2" w:name="_Hlk134208569"/>
      <w:r w:rsidR="00291796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>Lei 11.540, de 12 de novembro de 2007</w:t>
      </w:r>
      <w:bookmarkEnd w:id="2"/>
      <w:r w:rsidR="00291796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5D8C5ACB" w14:textId="65A92E0A" w:rsidR="00A1203D" w:rsidRDefault="00920C8E" w:rsidP="00B079E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Assim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no Estatuto publicado em 1972, a finalidade da empresa foi ampliada </w:t>
      </w:r>
      <w:r w:rsidR="002D1A4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passando a 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>engloba</w:t>
      </w:r>
      <w:r w:rsidR="002D1A4E">
        <w:rPr>
          <w:rFonts w:ascii="Tahoma" w:eastAsia="SimSun" w:hAnsi="Tahoma" w:cs="Tahoma"/>
          <w:kern w:val="3"/>
          <w:sz w:val="19"/>
          <w:szCs w:val="19"/>
          <w:lang w:bidi="hi-IN"/>
        </w:rPr>
        <w:t>r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o “</w:t>
      </w:r>
      <w:r w:rsidR="00A443A1" w:rsidRPr="00A443A1">
        <w:rPr>
          <w:rFonts w:ascii="Tahoma" w:eastAsia="SimSun" w:hAnsi="Tahoma" w:cs="Tahoma"/>
          <w:kern w:val="3"/>
          <w:sz w:val="19"/>
          <w:szCs w:val="19"/>
          <w:lang w:bidi="hi-IN"/>
        </w:rPr>
        <w:t>financiamento de estudos, projetos e programas de desenvolvimento econômico, social, tecnológico e científico, de acordo com as metas e prioridades setoriais estabelecidas nos planos do Governo Federal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>” (</w:t>
      </w:r>
      <w:r w:rsidR="00A23BC0">
        <w:rPr>
          <w:rFonts w:ascii="Arial" w:hAnsi="Arial" w:cs="Arial"/>
          <w:sz w:val="19"/>
          <w:szCs w:val="19"/>
        </w:rPr>
        <w:t>a</w:t>
      </w:r>
      <w:r w:rsidR="00A443A1">
        <w:rPr>
          <w:rFonts w:ascii="Arial" w:hAnsi="Arial" w:cs="Arial"/>
          <w:sz w:val="19"/>
          <w:szCs w:val="19"/>
        </w:rPr>
        <w:t>rt. 3</w:t>
      </w:r>
      <w:r w:rsidR="00A443A1" w:rsidRPr="00812306">
        <w:rPr>
          <w:rFonts w:ascii="Arial" w:hAnsi="Arial" w:cs="Arial"/>
          <w:sz w:val="19"/>
          <w:szCs w:val="19"/>
        </w:rPr>
        <w:t xml:space="preserve">º </w:t>
      </w:r>
      <w:r w:rsidR="00A443A1">
        <w:rPr>
          <w:rFonts w:ascii="Arial" w:hAnsi="Arial" w:cs="Arial"/>
          <w:sz w:val="19"/>
          <w:szCs w:val="19"/>
        </w:rPr>
        <w:t xml:space="preserve">do </w:t>
      </w:r>
      <w:r w:rsidR="00A443A1" w:rsidRPr="00812306">
        <w:rPr>
          <w:rFonts w:ascii="Arial" w:hAnsi="Arial" w:cs="Arial"/>
          <w:sz w:val="19"/>
          <w:szCs w:val="19"/>
        </w:rPr>
        <w:t xml:space="preserve">Estatuto </w:t>
      </w:r>
      <w:r w:rsidR="00A443A1">
        <w:rPr>
          <w:rFonts w:ascii="Arial" w:hAnsi="Arial" w:cs="Arial"/>
          <w:sz w:val="19"/>
          <w:szCs w:val="19"/>
        </w:rPr>
        <w:t xml:space="preserve">anexo ao </w:t>
      </w:r>
      <w:r w:rsidR="00A443A1" w:rsidRPr="00812306">
        <w:rPr>
          <w:rFonts w:ascii="Arial" w:hAnsi="Arial" w:cs="Arial"/>
          <w:sz w:val="19"/>
          <w:szCs w:val="19"/>
        </w:rPr>
        <w:t xml:space="preserve">Decreto 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>n</w:t>
      </w:r>
      <w:r w:rsidR="00A443A1" w:rsidRPr="00812306">
        <w:rPr>
          <w:rFonts w:ascii="Arial" w:hAnsi="Arial" w:cs="Arial"/>
          <w:sz w:val="19"/>
          <w:szCs w:val="19"/>
        </w:rPr>
        <w:t>º</w:t>
      </w:r>
      <w:r w:rsidR="00A443A1" w:rsidRPr="00A443A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71.133, </w:t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>de</w:t>
      </w:r>
      <w:r w:rsidR="00A443A1" w:rsidRPr="00A443A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21</w:t>
      </w:r>
      <w:r w:rsidR="00DF0DC2">
        <w:rPr>
          <w:rFonts w:ascii="Tahoma" w:eastAsia="SimSun" w:hAnsi="Tahoma" w:cs="Tahoma"/>
          <w:kern w:val="3"/>
          <w:sz w:val="19"/>
          <w:szCs w:val="19"/>
          <w:lang w:bidi="hi-IN"/>
        </w:rPr>
        <w:t>/09/</w:t>
      </w:r>
      <w:r w:rsidR="00A443A1" w:rsidRPr="00A443A1">
        <w:rPr>
          <w:rFonts w:ascii="Tahoma" w:eastAsia="SimSun" w:hAnsi="Tahoma" w:cs="Tahoma"/>
          <w:kern w:val="3"/>
          <w:sz w:val="19"/>
          <w:szCs w:val="19"/>
          <w:lang w:bidi="hi-IN"/>
        </w:rPr>
        <w:t>1972</w:t>
      </w:r>
      <w:r w:rsidR="00DF0DC2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3"/>
      </w:r>
      <w:r w:rsidR="00A443A1">
        <w:rPr>
          <w:rFonts w:ascii="Tahoma" w:eastAsia="SimSun" w:hAnsi="Tahoma" w:cs="Tahoma"/>
          <w:kern w:val="3"/>
          <w:sz w:val="19"/>
          <w:szCs w:val="19"/>
          <w:lang w:bidi="hi-IN"/>
        </w:rPr>
        <w:t>)</w:t>
      </w:r>
      <w:r w:rsidR="00A443A1" w:rsidRPr="00A443A1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 w:rsidR="000D0724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Essa finalidade permanece </w:t>
      </w:r>
      <w:r w:rsidR="00DF0DC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praticamente </w:t>
      </w:r>
      <w:r w:rsidR="000D0724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mesma </w:t>
      </w:r>
      <w:r w:rsidR="00B67D0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até o momento </w:t>
      </w:r>
      <w:r w:rsidR="000D0724">
        <w:rPr>
          <w:rFonts w:ascii="Tahoma" w:eastAsia="SimSun" w:hAnsi="Tahoma" w:cs="Tahoma"/>
          <w:kern w:val="3"/>
          <w:sz w:val="19"/>
          <w:szCs w:val="19"/>
          <w:lang w:bidi="hi-IN"/>
        </w:rPr>
        <w:t>e está expressa</w:t>
      </w:r>
      <w:r w:rsidR="004874B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no art. 3</w:t>
      </w:r>
      <w:r w:rsidR="004874B8" w:rsidRPr="00812306">
        <w:rPr>
          <w:rFonts w:ascii="Arial" w:hAnsi="Arial" w:cs="Arial"/>
          <w:sz w:val="19"/>
          <w:szCs w:val="19"/>
        </w:rPr>
        <w:t>º</w:t>
      </w:r>
      <w:r w:rsidR="004874B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do atual Estatuto Social da empresa que trata do Objeto </w:t>
      </w:r>
      <w:r w:rsidR="00B67D00">
        <w:rPr>
          <w:rFonts w:ascii="Tahoma" w:eastAsia="SimSun" w:hAnsi="Tahoma" w:cs="Tahoma"/>
          <w:kern w:val="3"/>
          <w:sz w:val="19"/>
          <w:szCs w:val="19"/>
          <w:lang w:bidi="hi-IN"/>
        </w:rPr>
        <w:t>S</w:t>
      </w:r>
      <w:r w:rsidR="004874B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ocial. Esse documento está publicado em </w:t>
      </w:r>
      <w:hyperlink r:id="rId15" w:history="1">
        <w:r w:rsidR="004874B8" w:rsidRPr="00BB2ECD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http://download.finep.gov.br/Estatuto_Social_da_Finep.pdf</w:t>
        </w:r>
      </w:hyperlink>
      <w:r w:rsidR="004874B8">
        <w:rPr>
          <w:rFonts w:ascii="Tahoma" w:eastAsia="SimSun" w:hAnsi="Tahoma" w:cs="Tahoma"/>
          <w:kern w:val="3"/>
          <w:sz w:val="19"/>
          <w:szCs w:val="19"/>
          <w:lang w:bidi="hi-IN"/>
        </w:rPr>
        <w:t>)</w:t>
      </w:r>
      <w:r w:rsidR="005E03B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 foi aprovado </w:t>
      </w:r>
      <w:r w:rsidR="005E03BB" w:rsidRPr="00F4137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na </w:t>
      </w:r>
      <w:r w:rsidR="00C403CC" w:rsidRPr="00C403CC">
        <w:rPr>
          <w:rFonts w:ascii="Tahoma" w:eastAsia="SimSun" w:hAnsi="Tahoma" w:cs="Tahoma"/>
          <w:kern w:val="3"/>
          <w:sz w:val="19"/>
          <w:szCs w:val="19"/>
          <w:lang w:bidi="hi-IN"/>
        </w:rPr>
        <w:t>17ª Assembleia Geral Extraordinária de 18/01/2024</w:t>
      </w:r>
      <w:r w:rsidR="00A1203D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76E86882" w14:textId="32DC51CA" w:rsidR="00B079EB" w:rsidRDefault="00BA258D" w:rsidP="00B079E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A</w:t>
      </w:r>
      <w:r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Finep exerce função crucial na implementação d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a</w:t>
      </w:r>
      <w:r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política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pública de CT&amp;I</w:t>
      </w:r>
      <w:r w:rsidR="00CA334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por meio da operacionalização de</w:t>
      </w:r>
      <w:r w:rsidR="00B079EB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programas e ações estratégicas para o Estado. Como componente central do Sistema Nacional de Ciência, Tecnologia e Inovação (SNCTI)</w:t>
      </w:r>
      <w:r w:rsidR="005C50CB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4"/>
      </w:r>
      <w:r w:rsidR="00B079EB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, atua de maneira decisiva na coordenação e articulação d</w:t>
      </w:r>
      <w:r w:rsidR="00C57F63">
        <w:rPr>
          <w:rFonts w:ascii="Tahoma" w:eastAsia="SimSun" w:hAnsi="Tahoma" w:cs="Tahoma"/>
          <w:kern w:val="3"/>
          <w:sz w:val="19"/>
          <w:szCs w:val="19"/>
          <w:lang w:bidi="hi-IN"/>
        </w:rPr>
        <w:t>e</w:t>
      </w:r>
      <w:r w:rsidR="00B079EB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esforços locais e nacionais. Esta atuação visa o alcance de resultados para toda a sociedade, com foco em ações estratégicas e estruturantes para o desenvolvimento sustentável do Brasil</w:t>
      </w:r>
      <w:r w:rsidR="00C57F63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5"/>
      </w:r>
      <w:r w:rsidR="00B079EB" w:rsidRPr="00B079EB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714BBEAF" w14:textId="1B41930D" w:rsidR="005A640A" w:rsidRDefault="005A640A" w:rsidP="005A640A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Sua finalidade é apoiar estudos e projetos com foco no desenvolvimento econômico, social, científico e tecnológico do país, mediante operacionalização de diferentes estratégias de fomento e instrumentos de apoio – nas modalidades Não Reembolsável, Reembolsável e Investimento. Estas estratégias e instrumentos são adequados </w:t>
      </w:r>
      <w:r w:rsidR="008D4155">
        <w:rPr>
          <w:rFonts w:ascii="Tahoma" w:eastAsia="SimSun" w:hAnsi="Tahoma" w:cs="Tahoma"/>
          <w:kern w:val="3"/>
          <w:sz w:val="19"/>
          <w:szCs w:val="19"/>
          <w:lang w:bidi="hi-IN"/>
        </w:rPr>
        <w:t>à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natureza dos projetos apoiados (que usualmente são de maior risco tecnológico e possuem maior tempo de maturidade), bem como </w:t>
      </w:r>
      <w:r w:rsidR="00190BB3">
        <w:rPr>
          <w:rFonts w:ascii="Tahoma" w:eastAsia="SimSun" w:hAnsi="Tahoma" w:cs="Tahoma"/>
          <w:kern w:val="3"/>
          <w:sz w:val="19"/>
          <w:szCs w:val="19"/>
          <w:lang w:bidi="hi-IN"/>
        </w:rPr>
        <w:t>a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resultados almejados </w:t>
      </w:r>
      <w:r w:rsidR="009A3BC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pelo governo no </w:t>
      </w:r>
      <w:r w:rsidRPr="005A640A">
        <w:rPr>
          <w:rFonts w:ascii="Tahoma" w:eastAsia="SimSun" w:hAnsi="Tahoma" w:cs="Tahoma"/>
          <w:kern w:val="3"/>
          <w:sz w:val="19"/>
          <w:szCs w:val="19"/>
          <w:lang w:bidi="hi-IN"/>
        </w:rPr>
        <w:t>ambiente de CT&amp;I.</w:t>
      </w:r>
    </w:p>
    <w:p w14:paraId="582BB9E3" w14:textId="5F6256C9" w:rsidR="00066DDD" w:rsidRPr="005A640A" w:rsidRDefault="009A3BCB" w:rsidP="005A640A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 propósito expresso na missão da Finep é </w:t>
      </w:r>
      <w:r w:rsidR="00166A3D">
        <w:rPr>
          <w:rFonts w:ascii="Tahoma" w:eastAsia="SimSun" w:hAnsi="Tahoma" w:cs="Tahoma"/>
          <w:kern w:val="3"/>
          <w:sz w:val="19"/>
          <w:szCs w:val="19"/>
          <w:lang w:bidi="hi-IN"/>
        </w:rPr>
        <w:t>materializa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do na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F37C65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relevância e 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>diversidade d</w:t>
      </w:r>
      <w:r w:rsidR="00F37C65">
        <w:rPr>
          <w:rFonts w:ascii="Tahoma" w:eastAsia="SimSun" w:hAnsi="Tahoma" w:cs="Tahoma"/>
          <w:kern w:val="3"/>
          <w:sz w:val="19"/>
          <w:szCs w:val="19"/>
          <w:lang w:bidi="hi-IN"/>
        </w:rPr>
        <w:t>os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066DDD">
        <w:rPr>
          <w:rFonts w:ascii="Tahoma" w:eastAsia="SimSun" w:hAnsi="Tahoma" w:cs="Tahoma"/>
          <w:kern w:val="3"/>
          <w:sz w:val="19"/>
          <w:szCs w:val="19"/>
          <w:lang w:bidi="hi-IN"/>
        </w:rPr>
        <w:t>p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rogramas e </w:t>
      </w:r>
      <w:r w:rsidR="00066DDD">
        <w:rPr>
          <w:rFonts w:ascii="Tahoma" w:eastAsia="SimSun" w:hAnsi="Tahoma" w:cs="Tahoma"/>
          <w:kern w:val="3"/>
          <w:sz w:val="19"/>
          <w:szCs w:val="19"/>
          <w:lang w:bidi="hi-IN"/>
        </w:rPr>
        <w:t>p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>rodutos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desenvolvidos</w:t>
      </w:r>
      <w:r w:rsidR="00166A3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que podem ir do apoio à 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pesquisa básica à introdução de um novo produto, processo ou serviço no mercado. </w:t>
      </w:r>
      <w:r w:rsidR="00066DDD">
        <w:rPr>
          <w:rFonts w:ascii="Tahoma" w:eastAsia="SimSun" w:hAnsi="Tahoma" w:cs="Tahoma"/>
          <w:kern w:val="3"/>
          <w:sz w:val="19"/>
          <w:szCs w:val="19"/>
          <w:lang w:bidi="hi-IN"/>
        </w:rPr>
        <w:t>A Finep se configura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portanto, como uma instituição singular, seja na esfera pública ou privada, sem similar no Brasil em seu nicho de atuação que apresente </w:t>
      </w:r>
      <w:r w:rsid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 mesmo conjunto de 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vertentes de operação, portfólio de instrumentos e abrangência geográfica, potencializando </w:t>
      </w:r>
      <w:r w:rsidR="00066DDD">
        <w:rPr>
          <w:rFonts w:ascii="Tahoma" w:eastAsia="SimSun" w:hAnsi="Tahoma" w:cs="Tahoma"/>
          <w:kern w:val="3"/>
          <w:sz w:val="19"/>
          <w:szCs w:val="19"/>
          <w:lang w:bidi="hi-IN"/>
        </w:rPr>
        <w:t>sua</w:t>
      </w:r>
      <w:r w:rsidR="00066DDD" w:rsidRPr="00066DD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capacidade de atuação e articulação.</w:t>
      </w:r>
    </w:p>
    <w:p w14:paraId="215689B8" w14:textId="265B7916" w:rsidR="00BA258D" w:rsidRPr="0041073C" w:rsidRDefault="00BA258D" w:rsidP="0041073C">
      <w:pPr>
        <w:spacing w:before="120" w:after="60" w:line="360" w:lineRule="auto"/>
        <w:rPr>
          <w:rFonts w:ascii="Tahoma" w:hAnsi="Tahoma" w:cs="Tahoma"/>
          <w:sz w:val="19"/>
          <w:szCs w:val="19"/>
          <w:shd w:val="clear" w:color="auto" w:fill="FFFFFF" w:themeFill="background1"/>
        </w:rPr>
      </w:pPr>
    </w:p>
    <w:p w14:paraId="41F88495" w14:textId="77777777" w:rsidR="00FC7079" w:rsidRPr="007752C3" w:rsidRDefault="00FC7079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3" w:name="_Toc49448283"/>
      <w:bookmarkStart w:id="4" w:name="_Toc71730098"/>
      <w:bookmarkStart w:id="5" w:name="_Toc166575245"/>
      <w:bookmarkStart w:id="6" w:name="_Toc49448282"/>
      <w:bookmarkStart w:id="7" w:name="_Toc71730097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Políticas Públicas</w:t>
      </w:r>
      <w:bookmarkEnd w:id="3"/>
      <w:bookmarkEnd w:id="4"/>
      <w:bookmarkEnd w:id="5"/>
    </w:p>
    <w:p w14:paraId="0B6223C9" w14:textId="30616718" w:rsidR="00B23392" w:rsidRDefault="00C547B0" w:rsidP="00643B26">
      <w:pPr>
        <w:spacing w:before="120" w:after="60" w:line="360" w:lineRule="auto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1B548E">
        <w:rPr>
          <w:rFonts w:ascii="Tahoma" w:hAnsi="Tahoma" w:cs="Tahoma"/>
          <w:sz w:val="19"/>
          <w:szCs w:val="19"/>
          <w:shd w:val="clear" w:color="auto" w:fill="FFFFFF" w:themeFill="background1"/>
        </w:rPr>
        <w:t>A Finep é um ator fundamental do governo federal para o fomento à CT&amp;I, atuando no apoio a empresas</w:t>
      </w:r>
      <w:r w:rsidR="008378EE">
        <w:rPr>
          <w:rFonts w:ascii="Tahoma" w:hAnsi="Tahoma" w:cs="Tahoma"/>
          <w:sz w:val="19"/>
          <w:szCs w:val="19"/>
          <w:shd w:val="clear" w:color="auto" w:fill="FFFFFF" w:themeFill="background1"/>
        </w:rPr>
        <w:t xml:space="preserve"> de todos os portes</w:t>
      </w:r>
      <w:r w:rsidR="00603AAB">
        <w:rPr>
          <w:rFonts w:ascii="Tahoma" w:hAnsi="Tahoma" w:cs="Tahoma"/>
          <w:sz w:val="19"/>
          <w:szCs w:val="19"/>
          <w:shd w:val="clear" w:color="auto" w:fill="FFFFFF" w:themeFill="background1"/>
        </w:rPr>
        <w:t xml:space="preserve"> e </w:t>
      </w:r>
      <w:r w:rsidR="008378EE">
        <w:rPr>
          <w:rFonts w:ascii="Tahoma" w:hAnsi="Tahoma" w:cs="Tahoma"/>
          <w:sz w:val="19"/>
          <w:szCs w:val="19"/>
          <w:shd w:val="clear" w:color="auto" w:fill="FFFFFF" w:themeFill="background1"/>
        </w:rPr>
        <w:t>a Instituições Científicas, Tecnológicas e de Inovação (ICTs)</w:t>
      </w:r>
      <w:r w:rsidR="00603AAB">
        <w:rPr>
          <w:rStyle w:val="Refdenotaderodap"/>
          <w:rFonts w:ascii="Tahoma" w:hAnsi="Tahoma" w:cs="Tahoma"/>
          <w:sz w:val="19"/>
          <w:szCs w:val="19"/>
          <w:shd w:val="clear" w:color="auto" w:fill="FFFFFF" w:themeFill="background1"/>
        </w:rPr>
        <w:footnoteReference w:id="6"/>
      </w:r>
      <w:r w:rsidR="00643B26">
        <w:rPr>
          <w:rFonts w:ascii="Tahoma" w:hAnsi="Tahoma" w:cs="Tahoma"/>
          <w:sz w:val="19"/>
          <w:szCs w:val="19"/>
          <w:shd w:val="clear" w:color="auto" w:fill="FFFFFF" w:themeFill="background1"/>
        </w:rPr>
        <w:t xml:space="preserve">.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projetos 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apoiados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pela Finep são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lastRenderedPageBreak/>
        <w:t xml:space="preserve">plurianuais e 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liberação de recursos ocorre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>por parcelas de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acordo com a execução física e financeira, 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>dentro de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marcos de acompanhamento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>estabelecidos nos planos de trabalho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aprovados em cada projeto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. </w:t>
      </w:r>
      <w:r w:rsidR="00643B26">
        <w:rPr>
          <w:rFonts w:ascii="Tahoma" w:eastAsia="SimSun" w:hAnsi="Tahoma" w:cs="Tahoma"/>
          <w:kern w:val="3"/>
          <w:sz w:val="19"/>
          <w:szCs w:val="19"/>
          <w:lang w:bidi="hi-IN"/>
        </w:rPr>
        <w:t>Desta forma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os recursos 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>de um exercício podem ser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aplicados em liberações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B23392" w:rsidRPr="00A90F08">
        <w:rPr>
          <w:rFonts w:ascii="Tahoma" w:eastAsia="SimSun" w:hAnsi="Tahoma" w:cs="Tahoma"/>
          <w:kern w:val="3"/>
          <w:sz w:val="19"/>
          <w:szCs w:val="19"/>
          <w:lang w:bidi="hi-IN"/>
        </w:rPr>
        <w:t>de parcelas de diferentes projetos, em diversos estágios de evolução física</w:t>
      </w:r>
      <w:r w:rsidR="00B23392">
        <w:rPr>
          <w:rFonts w:ascii="Tahoma" w:eastAsia="SimSun" w:hAnsi="Tahoma" w:cs="Tahoma"/>
          <w:kern w:val="3"/>
          <w:sz w:val="19"/>
          <w:szCs w:val="19"/>
          <w:lang w:bidi="hi-IN"/>
        </w:rPr>
        <w:t>, contratados naquele exercício ou em exercícios anteriores.</w:t>
      </w:r>
    </w:p>
    <w:p w14:paraId="69982E71" w14:textId="0AA26CE0" w:rsidR="001B548E" w:rsidRDefault="001B548E" w:rsidP="00B2028C">
      <w:pPr>
        <w:widowControl w:val="0"/>
        <w:suppressAutoHyphens/>
        <w:autoSpaceDN w:val="0"/>
        <w:spacing w:before="120" w:after="6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Em aderência à missão institucional e em conformidade com as previsões e autorizações legais</w:t>
      </w:r>
      <w:r w:rsidR="00257499">
        <w:rPr>
          <w:rFonts w:ascii="Tahoma" w:eastAsia="SimSun" w:hAnsi="Tahoma" w:cs="Tahoma"/>
          <w:kern w:val="3"/>
          <w:sz w:val="19"/>
          <w:szCs w:val="19"/>
          <w:lang w:bidi="hi-IN"/>
        </w:rPr>
        <w:t>,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C2168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Finep tem 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exerc</w:t>
      </w:r>
      <w:r w:rsidR="00C2168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ido </w:t>
      </w:r>
      <w:r w:rsidR="00EE731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três 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funções:</w:t>
      </w:r>
      <w:r w:rsidR="00EE731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6B43FC" w:rsidRPr="00257499">
        <w:rPr>
          <w:rFonts w:ascii="Tahoma" w:eastAsia="SimSun" w:hAnsi="Tahoma" w:cs="Tahoma"/>
          <w:kern w:val="3"/>
          <w:sz w:val="19"/>
          <w:szCs w:val="19"/>
          <w:lang w:bidi="hi-IN"/>
        </w:rPr>
        <w:t>Secretaria executiva do FNDCT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>;</w:t>
      </w:r>
      <w:r w:rsidR="006B43FC" w:rsidRPr="0025749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Pr="0025749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Agência de fomento à </w:t>
      </w:r>
      <w:r w:rsidR="00EE731C">
        <w:rPr>
          <w:rFonts w:ascii="Tahoma" w:eastAsia="SimSun" w:hAnsi="Tahoma" w:cs="Tahoma"/>
          <w:kern w:val="3"/>
          <w:sz w:val="19"/>
          <w:szCs w:val="19"/>
          <w:lang w:bidi="hi-IN"/>
        </w:rPr>
        <w:t>CT&amp;I</w:t>
      </w:r>
      <w:r w:rsidRPr="00257499">
        <w:rPr>
          <w:rFonts w:ascii="Tahoma" w:eastAsia="SimSun" w:hAnsi="Tahoma" w:cs="Tahoma"/>
          <w:kern w:val="3"/>
          <w:sz w:val="19"/>
          <w:szCs w:val="19"/>
          <w:lang w:bidi="hi-IN"/>
        </w:rPr>
        <w:t>; e Gestora e agente financeiro de recursos de outros fundos ou instituições nacionais e internacionais.</w:t>
      </w:r>
    </w:p>
    <w:p w14:paraId="36D56EF9" w14:textId="12ABA9F0" w:rsidR="00A23BC0" w:rsidRPr="00257499" w:rsidRDefault="00A23BC0" w:rsidP="00B2028C">
      <w:pPr>
        <w:widowControl w:val="0"/>
        <w:suppressAutoHyphens/>
        <w:autoSpaceDN w:val="0"/>
        <w:spacing w:before="120" w:after="6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Como Secretaria Executiva do FNDCT, a Finep</w:t>
      </w:r>
      <w:r w:rsidR="009449F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deve </w:t>
      </w:r>
      <w:r w:rsidRPr="00A23BC0">
        <w:rPr>
          <w:rFonts w:ascii="Tahoma" w:eastAsia="SimSun" w:hAnsi="Tahoma" w:cs="Tahoma"/>
          <w:kern w:val="3"/>
          <w:sz w:val="19"/>
          <w:szCs w:val="19"/>
          <w:lang w:bidi="hi-IN"/>
        </w:rPr>
        <w:t>praticar todos os atos de natureza técnica, administrativa, financeira e contábil necessários à gestão do F</w:t>
      </w:r>
      <w:r w:rsidR="009449F3">
        <w:rPr>
          <w:rFonts w:ascii="Tahoma" w:eastAsia="SimSun" w:hAnsi="Tahoma" w:cs="Tahoma"/>
          <w:kern w:val="3"/>
          <w:sz w:val="19"/>
          <w:szCs w:val="19"/>
          <w:lang w:bidi="hi-IN"/>
        </w:rPr>
        <w:t>undo,</w:t>
      </w:r>
      <w:r w:rsidR="002556B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pelo que </w:t>
      </w:r>
      <w:r w:rsidR="002556B0" w:rsidRPr="002556B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receberá </w:t>
      </w:r>
      <w:r w:rsidR="002556B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anualmente </w:t>
      </w:r>
      <w:r w:rsidR="002556B0" w:rsidRPr="002556B0">
        <w:rPr>
          <w:rFonts w:ascii="Tahoma" w:eastAsia="SimSun" w:hAnsi="Tahoma" w:cs="Tahoma"/>
          <w:kern w:val="3"/>
          <w:sz w:val="19"/>
          <w:szCs w:val="19"/>
          <w:lang w:bidi="hi-IN"/>
        </w:rPr>
        <w:t>até 2% (dois por cento) dos recursos orçamentários atribuídos ao Fundo, para cobertura de despesas de administração</w:t>
      </w:r>
      <w:r w:rsidR="002556B0">
        <w:rPr>
          <w:rFonts w:ascii="Tahoma" w:eastAsia="SimSun" w:hAnsi="Tahoma" w:cs="Tahoma"/>
          <w:kern w:val="3"/>
          <w:sz w:val="19"/>
          <w:szCs w:val="19"/>
          <w:lang w:bidi="hi-IN"/>
        </w:rPr>
        <w:t>,</w:t>
      </w:r>
      <w:r w:rsidR="002556B0" w:rsidRPr="002556B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observado o limite fixado anualmente por ato do Conselho Direto</w:t>
      </w:r>
      <w:r w:rsidR="002556B0">
        <w:rPr>
          <w:rFonts w:ascii="Tahoma" w:eastAsia="SimSun" w:hAnsi="Tahoma" w:cs="Tahoma"/>
          <w:kern w:val="3"/>
          <w:sz w:val="19"/>
          <w:szCs w:val="19"/>
          <w:lang w:bidi="hi-IN"/>
        </w:rPr>
        <w:t>r do FNDCT</w:t>
      </w:r>
      <w:r w:rsidR="002556B0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7"/>
      </w:r>
      <w:r w:rsidRPr="00A23BC0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 w:rsidR="004307B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Informações sobre </w:t>
      </w:r>
      <w:r w:rsidR="00023D7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resultados das políticas e programas apoiados e a </w:t>
      </w:r>
      <w:r w:rsidR="004307B3">
        <w:rPr>
          <w:rFonts w:ascii="Tahoma" w:eastAsia="SimSun" w:hAnsi="Tahoma" w:cs="Tahoma"/>
          <w:kern w:val="3"/>
          <w:sz w:val="19"/>
          <w:szCs w:val="19"/>
          <w:lang w:bidi="hi-IN"/>
        </w:rPr>
        <w:t>execução orçamentária e financeira do FNDCT</w:t>
      </w:r>
      <w:r w:rsidR="00023D7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podem ser encontrados no </w:t>
      </w:r>
      <w:r w:rsidR="00FE6FBF">
        <w:rPr>
          <w:rFonts w:ascii="Tahoma" w:eastAsia="SimSun" w:hAnsi="Tahoma" w:cs="Tahoma"/>
          <w:kern w:val="3"/>
          <w:sz w:val="19"/>
          <w:szCs w:val="19"/>
          <w:lang w:bidi="hi-IN"/>
        </w:rPr>
        <w:t>Relatório de Gestão do MCTI (</w:t>
      </w:r>
      <w:hyperlink r:id="rId16" w:history="1">
        <w:r w:rsidR="00FE6FBF"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https://www.gov.br/mcti/pt-br/acesso-a-informacao/prestacao-de-contas/2023</w:t>
        </w:r>
      </w:hyperlink>
      <w:r w:rsidR="00FE6FBF">
        <w:rPr>
          <w:rFonts w:ascii="Tahoma" w:eastAsia="SimSun" w:hAnsi="Tahoma" w:cs="Tahoma"/>
          <w:kern w:val="3"/>
          <w:sz w:val="19"/>
          <w:szCs w:val="19"/>
          <w:lang w:bidi="hi-IN"/>
        </w:rPr>
        <w:t>).</w:t>
      </w:r>
    </w:p>
    <w:p w14:paraId="00981A69" w14:textId="3062B965" w:rsidR="005C50CB" w:rsidRDefault="00227454" w:rsidP="00AD69B9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No exercício das funções de agência de fomento e de gestora de recursos de terceiros, </w:t>
      </w:r>
      <w:r w:rsidR="005C50CB">
        <w:rPr>
          <w:rFonts w:ascii="Tahoma" w:eastAsia="SimSun" w:hAnsi="Tahoma" w:cs="Tahoma"/>
          <w:kern w:val="3"/>
          <w:sz w:val="19"/>
          <w:szCs w:val="19"/>
          <w:lang w:bidi="hi-IN"/>
        </w:rPr>
        <w:t>a Finep se utiliza de</w:t>
      </w:r>
      <w:r w:rsidR="005C50CB" w:rsidRPr="005C50C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diferentes instrumentos financeiros e não financeiros</w:t>
      </w:r>
      <w:r w:rsidR="006100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(nos quais o principal aporte é o conhecimento)</w:t>
      </w:r>
      <w:r w:rsidR="008378EE">
        <w:rPr>
          <w:rFonts w:ascii="Tahoma" w:eastAsia="SimSun" w:hAnsi="Tahoma" w:cs="Tahoma"/>
          <w:kern w:val="3"/>
          <w:sz w:val="19"/>
          <w:szCs w:val="19"/>
          <w:lang w:bidi="hi-IN"/>
        </w:rPr>
        <w:t>:</w:t>
      </w:r>
    </w:p>
    <w:p w14:paraId="6FEFA576" w14:textId="77777777" w:rsidR="00EE731C" w:rsidRPr="00EE731C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EE731C">
        <w:rPr>
          <w:rFonts w:ascii="Tahoma" w:eastAsia="SimSun" w:hAnsi="Tahoma" w:cs="Tahoma"/>
          <w:kern w:val="3"/>
          <w:sz w:val="19"/>
          <w:szCs w:val="19"/>
          <w:lang w:bidi="hi-IN"/>
        </w:rPr>
        <w:t>Financiamento não reembolsável a ICTs</w:t>
      </w:r>
    </w:p>
    <w:p w14:paraId="57AB9C79" w14:textId="46A082D2" w:rsidR="00EE731C" w:rsidRPr="00EE731C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EE731C">
        <w:rPr>
          <w:rFonts w:ascii="Tahoma" w:eastAsia="SimSun" w:hAnsi="Tahoma" w:cs="Tahoma"/>
          <w:kern w:val="3"/>
          <w:sz w:val="19"/>
          <w:szCs w:val="19"/>
          <w:lang w:bidi="hi-IN"/>
        </w:rPr>
        <w:t>Financiamento reembolsável – crédito direto</w:t>
      </w:r>
      <w:r w:rsidR="008378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 descentralizado</w:t>
      </w:r>
    </w:p>
    <w:p w14:paraId="7AFF8A1F" w14:textId="6F8648A8" w:rsidR="00EE731C" w:rsidRPr="00EE731C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EE731C">
        <w:rPr>
          <w:rFonts w:ascii="Tahoma" w:eastAsia="SimSun" w:hAnsi="Tahoma" w:cs="Tahoma"/>
          <w:kern w:val="3"/>
          <w:sz w:val="19"/>
          <w:szCs w:val="19"/>
          <w:lang w:bidi="hi-IN"/>
        </w:rPr>
        <w:t>Financiamento não reembolsável a empresas</w:t>
      </w:r>
      <w:r w:rsidR="006100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(com recursos do programa Rota 2030 do governo federal)</w:t>
      </w:r>
    </w:p>
    <w:p w14:paraId="4142E9B3" w14:textId="062AECCD" w:rsidR="00EE731C" w:rsidRPr="00FE6FBF" w:rsidRDefault="00EE731C" w:rsidP="00A77A60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Subvenção </w:t>
      </w:r>
      <w:r w:rsidR="008378EE"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econômica </w:t>
      </w:r>
      <w:r w:rsidR="00FE6FBF"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empresas – </w:t>
      </w:r>
      <w:r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>direta</w:t>
      </w:r>
      <w:r w:rsidR="008378EE"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 de</w:t>
      </w:r>
      <w:r w:rsidRPr="00FE6FBF">
        <w:rPr>
          <w:rFonts w:ascii="Tahoma" w:eastAsia="SimSun" w:hAnsi="Tahoma" w:cs="Tahoma"/>
          <w:kern w:val="3"/>
          <w:sz w:val="19"/>
          <w:szCs w:val="19"/>
          <w:lang w:bidi="hi-IN"/>
        </w:rPr>
        <w:t>scentralizada</w:t>
      </w:r>
    </w:p>
    <w:p w14:paraId="3F0C5D2E" w14:textId="72D64381" w:rsidR="00EE731C" w:rsidRPr="00EE731C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EE731C">
        <w:rPr>
          <w:rFonts w:ascii="Tahoma" w:eastAsia="SimSun" w:hAnsi="Tahoma" w:cs="Tahoma"/>
          <w:kern w:val="3"/>
          <w:sz w:val="19"/>
          <w:szCs w:val="19"/>
          <w:lang w:bidi="hi-IN"/>
        </w:rPr>
        <w:t>Aquisição de Instrumentos Conversíveis em Participação no Capital Social</w:t>
      </w:r>
      <w:r w:rsidR="00D57064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(Finep Startup)</w:t>
      </w:r>
    </w:p>
    <w:p w14:paraId="585F8FCA" w14:textId="6061BAF0" w:rsidR="00EE731C" w:rsidRPr="00EE731C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EE731C">
        <w:rPr>
          <w:rFonts w:ascii="Tahoma" w:eastAsia="SimSun" w:hAnsi="Tahoma" w:cs="Tahoma"/>
          <w:kern w:val="3"/>
          <w:sz w:val="19"/>
          <w:szCs w:val="19"/>
          <w:lang w:bidi="hi-IN"/>
        </w:rPr>
        <w:t>Capacitação e premiação</w:t>
      </w:r>
      <w:r w:rsidR="006100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(instrumentos não financeiros)</w:t>
      </w:r>
    </w:p>
    <w:p w14:paraId="20AF6D36" w14:textId="2B31C523" w:rsidR="00EE731C" w:rsidRPr="008378EE" w:rsidRDefault="00EE731C" w:rsidP="00AD69B9">
      <w:pPr>
        <w:pStyle w:val="PargrafodaLista"/>
        <w:widowControl w:val="0"/>
        <w:numPr>
          <w:ilvl w:val="0"/>
          <w:numId w:val="7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>Investimento em FIPs exclusivo</w:t>
      </w:r>
      <w:r w:rsidR="00643B26">
        <w:rPr>
          <w:rFonts w:ascii="Tahoma" w:eastAsia="SimSun" w:hAnsi="Tahoma" w:cs="Tahoma"/>
          <w:kern w:val="3"/>
          <w:sz w:val="19"/>
          <w:szCs w:val="19"/>
          <w:lang w:bidi="hi-IN"/>
        </w:rPr>
        <w:t>s, em que é a única cotista,</w:t>
      </w:r>
      <w:r w:rsidR="006100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8378EE"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 </w:t>
      </w:r>
      <w:r w:rsidRPr="008378EE">
        <w:rPr>
          <w:rFonts w:ascii="Tahoma" w:eastAsia="SimSun" w:hAnsi="Tahoma" w:cs="Tahoma"/>
          <w:kern w:val="3"/>
          <w:sz w:val="19"/>
          <w:szCs w:val="19"/>
          <w:lang w:bidi="hi-IN"/>
        </w:rPr>
        <w:t>não exclusivos</w:t>
      </w:r>
    </w:p>
    <w:p w14:paraId="2D041933" w14:textId="340895D3" w:rsidR="005C50CB" w:rsidRDefault="008378EE" w:rsidP="00AD69B9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Dentre eles, o financiamento reembolsável e a subvenção </w:t>
      </w:r>
      <w:r w:rsidR="004F78A0">
        <w:rPr>
          <w:rFonts w:ascii="Tahoma" w:eastAsia="SimSun" w:hAnsi="Tahoma" w:cs="Tahoma"/>
          <w:kern w:val="3"/>
          <w:sz w:val="19"/>
          <w:szCs w:val="19"/>
          <w:lang w:bidi="hi-IN"/>
        </w:rPr>
        <w:t>podem ser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operados diretamente pela Finep ou descentralizadamente por meio de agentes financeiros regionais ou parceiros estaduais</w:t>
      </w:r>
      <w:r w:rsidR="001C32F3">
        <w:rPr>
          <w:rFonts w:ascii="Tahoma" w:eastAsia="SimSun" w:hAnsi="Tahoma" w:cs="Tahoma"/>
          <w:kern w:val="3"/>
          <w:sz w:val="19"/>
          <w:szCs w:val="19"/>
          <w:lang w:bidi="hi-IN"/>
        </w:rPr>
        <w:t>, respectivamente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2CB764B3" w14:textId="6E8AB751" w:rsidR="004337AC" w:rsidRPr="00352C83" w:rsidRDefault="00257499" w:rsidP="00AD69B9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Além do apoio financeiro,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Finep atua também por meio do 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relacionamento com parceiros e clientes, contribu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indo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para a consolidação dos sistemas estaduais de inovação, </w:t>
      </w:r>
      <w:r w:rsidR="002E5DA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buscando </w:t>
      </w:r>
      <w:r w:rsidR="002E5DAF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integração de esforços </w:t>
      </w:r>
      <w:r w:rsidR="002E5DAF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 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maior capilaridade de atuaçã</w:t>
      </w:r>
      <w:r w:rsidR="00227454">
        <w:rPr>
          <w:rFonts w:ascii="Tahoma" w:eastAsia="SimSun" w:hAnsi="Tahoma" w:cs="Tahoma"/>
          <w:kern w:val="3"/>
          <w:sz w:val="19"/>
          <w:szCs w:val="19"/>
          <w:lang w:bidi="hi-IN"/>
        </w:rPr>
        <w:t>o</w:t>
      </w:r>
      <w:r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 w:rsidR="004F78A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4337AC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A Finep pode ainda firmar acordos com organizações congêneres estrangeiras e com organizações multilaterais com objetivo de trocar experiências e melhores práticas, bem como apoiar conjuntamente projetos de CT&amp;I de interesse mútuo.</w:t>
      </w:r>
    </w:p>
    <w:p w14:paraId="1CFFC294" w14:textId="37352DD3" w:rsidR="001B548E" w:rsidRDefault="00B14573" w:rsidP="00AD69B9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hAnsi="Tahoma" w:cs="Tahoma"/>
          <w:sz w:val="19"/>
          <w:szCs w:val="19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O</w:t>
      </w:r>
      <w:r w:rsidR="00257499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valor gerado pela Finep para a sociedade </w:t>
      </w:r>
      <w:r w:rsidR="004F78A0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se concretiza </w:t>
      </w:r>
      <w:r w:rsidR="00257499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no avanço do conhecimento científico, que fortalece a capacidade nacional de enfrentar desafios atuais e futuros, e na introdução de novos produtos, processos e serviços, que ampliam a competitividade das empresas brasileiras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Esses resultados </w:t>
      </w:r>
      <w:r w:rsidR="00CE3381">
        <w:rPr>
          <w:rFonts w:ascii="Tahoma" w:eastAsia="SimSun" w:hAnsi="Tahoma" w:cs="Tahoma"/>
          <w:kern w:val="3"/>
          <w:sz w:val="19"/>
          <w:szCs w:val="19"/>
          <w:lang w:bidi="hi-IN"/>
        </w:rPr>
        <w:t>são construídos pela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6B43FC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combinação 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das </w:t>
      </w:r>
      <w:r w:rsidR="006B43FC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competências acumuladas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na empresa</w:t>
      </w:r>
      <w:r w:rsidR="003627F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dos instrumentos de apoio </w:t>
      </w:r>
      <w:r w:rsidR="00CE3381" w:rsidRPr="00232738">
        <w:rPr>
          <w:rFonts w:ascii="Tahoma" w:eastAsia="SimSun" w:hAnsi="Tahoma" w:cs="Tahoma"/>
          <w:kern w:val="3"/>
          <w:sz w:val="19"/>
          <w:szCs w:val="19"/>
          <w:lang w:bidi="hi-IN"/>
        </w:rPr>
        <w:t>financeiros</w:t>
      </w:r>
      <w:r w:rsidR="00CE338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 não financeiros 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>que desenvolve</w:t>
      </w:r>
      <w:r w:rsidR="003627F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para </w:t>
      </w:r>
      <w:r w:rsidR="003627F1">
        <w:rPr>
          <w:rFonts w:ascii="Tahoma" w:eastAsia="SimSun" w:hAnsi="Tahoma" w:cs="Tahoma"/>
          <w:kern w:val="3"/>
          <w:sz w:val="19"/>
          <w:szCs w:val="19"/>
          <w:lang w:bidi="hi-IN"/>
        </w:rPr>
        <w:lastRenderedPageBreak/>
        <w:t xml:space="preserve">o </w:t>
      </w:r>
      <w:r w:rsidR="006B43FC">
        <w:rPr>
          <w:rFonts w:ascii="Tahoma" w:eastAsia="SimSun" w:hAnsi="Tahoma" w:cs="Tahoma"/>
          <w:kern w:val="3"/>
          <w:sz w:val="19"/>
          <w:szCs w:val="19"/>
          <w:lang w:bidi="hi-IN"/>
        </w:rPr>
        <w:t>fortalecimento da pesquisa científica e tecnológica nas ICTs e o compartilhamento dos riscos de inovar com empresas e empreendedores.</w:t>
      </w:r>
    </w:p>
    <w:p w14:paraId="5A6A7B5C" w14:textId="3EBADFBD" w:rsidR="008C23DD" w:rsidRDefault="00B14573" w:rsidP="00AD69B9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 documento</w:t>
      </w:r>
      <w:r w:rsidRPr="003A3E06">
        <w:rPr>
          <w:rFonts w:ascii="Tahoma" w:hAnsi="Tahoma" w:cs="Tahoma"/>
          <w:sz w:val="19"/>
          <w:szCs w:val="19"/>
        </w:rPr>
        <w:t xml:space="preserve"> Condições Operacionais</w:t>
      </w:r>
      <w:r>
        <w:rPr>
          <w:rStyle w:val="Refdenotaderodap"/>
          <w:rFonts w:ascii="Tahoma" w:hAnsi="Tahoma" w:cs="Tahoma"/>
          <w:sz w:val="19"/>
          <w:szCs w:val="19"/>
        </w:rPr>
        <w:footnoteReference w:id="8"/>
      </w:r>
      <w:r>
        <w:rPr>
          <w:rFonts w:ascii="Tahoma" w:hAnsi="Tahoma" w:cs="Tahoma"/>
          <w:sz w:val="19"/>
          <w:szCs w:val="19"/>
        </w:rPr>
        <w:t xml:space="preserve"> descreve </w:t>
      </w:r>
      <w:r w:rsidRPr="72AF78D4">
        <w:rPr>
          <w:rFonts w:ascii="Tahoma" w:hAnsi="Tahoma" w:cs="Tahoma"/>
          <w:sz w:val="19"/>
          <w:szCs w:val="19"/>
        </w:rPr>
        <w:t>as diretrizes gerais da atuação</w:t>
      </w:r>
      <w:r>
        <w:rPr>
          <w:rFonts w:ascii="Tahoma" w:hAnsi="Tahoma" w:cs="Tahoma"/>
          <w:sz w:val="19"/>
          <w:szCs w:val="19"/>
        </w:rPr>
        <w:t xml:space="preserve"> da Finep. Apresenta ainda</w:t>
      </w:r>
      <w:r w:rsidRPr="72AF78D4">
        <w:rPr>
          <w:rFonts w:ascii="Tahoma" w:hAnsi="Tahoma" w:cs="Tahoma"/>
          <w:sz w:val="19"/>
          <w:szCs w:val="19"/>
        </w:rPr>
        <w:t xml:space="preserve"> as condições de financiamento dos produtos e linhas de ação d</w:t>
      </w:r>
      <w:r w:rsidR="001C32F3">
        <w:rPr>
          <w:rFonts w:ascii="Tahoma" w:hAnsi="Tahoma" w:cs="Tahoma"/>
          <w:sz w:val="19"/>
          <w:szCs w:val="19"/>
        </w:rPr>
        <w:t>o</w:t>
      </w:r>
      <w:r w:rsidRPr="72AF78D4">
        <w:rPr>
          <w:rFonts w:ascii="Tahoma" w:hAnsi="Tahoma" w:cs="Tahoma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crédito</w:t>
      </w:r>
      <w:r w:rsidRPr="72AF78D4">
        <w:rPr>
          <w:rFonts w:ascii="Tahoma" w:hAnsi="Tahoma" w:cs="Tahoma"/>
          <w:sz w:val="19"/>
          <w:szCs w:val="19"/>
        </w:rPr>
        <w:t xml:space="preserve"> (taxas, prazos de carência, prazos totais, percentuais de financiamento da Finep).</w:t>
      </w:r>
      <w:r w:rsidR="00FD69B5">
        <w:rPr>
          <w:rFonts w:ascii="Tahoma" w:hAnsi="Tahoma" w:cs="Tahoma"/>
          <w:sz w:val="19"/>
          <w:szCs w:val="19"/>
        </w:rPr>
        <w:t xml:space="preserve"> A execução do Programa de Dispêndios Globais (PDG) da Finep está disponível em </w:t>
      </w:r>
      <w:hyperlink r:id="rId17" w:history="1">
        <w:r w:rsidR="00FD69B5" w:rsidRPr="00F0331F">
          <w:rPr>
            <w:rStyle w:val="Hyperlink"/>
            <w:rFonts w:ascii="Tahoma" w:hAnsi="Tahoma" w:cs="Tahoma"/>
            <w:sz w:val="19"/>
            <w:szCs w:val="19"/>
          </w:rPr>
          <w:t>http://www.finep.gov.br/receitas-e-despesas</w:t>
        </w:r>
      </w:hyperlink>
      <w:r w:rsidR="00FD69B5">
        <w:rPr>
          <w:rFonts w:ascii="Tahoma" w:hAnsi="Tahoma" w:cs="Tahoma"/>
          <w:sz w:val="19"/>
          <w:szCs w:val="19"/>
        </w:rPr>
        <w:t>.</w:t>
      </w:r>
    </w:p>
    <w:p w14:paraId="4E775B05" w14:textId="70EFE949" w:rsidR="008C0E32" w:rsidRDefault="008C0E32" w:rsidP="008C0E32">
      <w:pPr>
        <w:spacing w:before="120" w:after="120" w:line="360" w:lineRule="auto"/>
        <w:rPr>
          <w:rFonts w:ascii="Tahoma" w:eastAsia="Times New Roman" w:hAnsi="Tahoma" w:cs="Tahoma"/>
          <w:sz w:val="19"/>
          <w:szCs w:val="19"/>
          <w:lang w:eastAsia="pt-BR"/>
        </w:rPr>
      </w:pPr>
      <w:r>
        <w:rPr>
          <w:rFonts w:ascii="Tahoma" w:eastAsia="Times New Roman" w:hAnsi="Tahoma" w:cs="Tahoma"/>
          <w:sz w:val="19"/>
          <w:szCs w:val="19"/>
          <w:lang w:eastAsia="pt-BR"/>
        </w:rPr>
        <w:t>Como empresa pública vinculada ao MCTI e instituição integrante do Sistema Nacional de CT&amp;I (SNCTI), as diretrizes para atuação da Finep emanaram dos documentos que expressa</w:t>
      </w:r>
      <w:r w:rsidR="003627F1">
        <w:rPr>
          <w:rFonts w:ascii="Tahoma" w:eastAsia="Times New Roman" w:hAnsi="Tahoma" w:cs="Tahoma"/>
          <w:sz w:val="19"/>
          <w:szCs w:val="19"/>
          <w:lang w:eastAsia="pt-BR"/>
        </w:rPr>
        <w:t xml:space="preserve">m </w:t>
      </w:r>
      <w:r>
        <w:rPr>
          <w:rFonts w:ascii="Tahoma" w:eastAsia="Times New Roman" w:hAnsi="Tahoma" w:cs="Tahoma"/>
          <w:sz w:val="19"/>
          <w:szCs w:val="19"/>
          <w:lang w:eastAsia="pt-BR"/>
        </w:rPr>
        <w:t>a política pública de CT&amp;I:</w:t>
      </w:r>
    </w:p>
    <w:p w14:paraId="3AF79AB3" w14:textId="3902A2F4" w:rsidR="005F19FB" w:rsidRDefault="004E3BD2" w:rsidP="005F19FB">
      <w:pPr>
        <w:numPr>
          <w:ilvl w:val="0"/>
          <w:numId w:val="24"/>
        </w:numPr>
        <w:spacing w:before="120" w:after="120" w:line="360" w:lineRule="auto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18" w:history="1">
        <w:r w:rsidR="003627F1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Plano Plurianual 2024-2027</w:t>
        </w:r>
      </w:hyperlink>
      <w:r w:rsidR="005F19FB">
        <w:rPr>
          <w:rFonts w:ascii="Tahoma" w:eastAsia="Times New Roman" w:hAnsi="Tahoma" w:cs="Tahoma"/>
          <w:sz w:val="19"/>
          <w:szCs w:val="19"/>
          <w:lang w:eastAsia="pt-BR"/>
        </w:rPr>
        <w:t xml:space="preserve"> (</w:t>
      </w:r>
      <w:r w:rsidR="005F19FB" w:rsidRPr="009E1308">
        <w:rPr>
          <w:rFonts w:ascii="Tahoma" w:eastAsia="Times New Roman" w:hAnsi="Tahoma" w:cs="Tahoma"/>
          <w:sz w:val="19"/>
          <w:szCs w:val="19"/>
          <w:lang w:eastAsia="pt-BR"/>
        </w:rPr>
        <w:t>Lei nº 1</w:t>
      </w:r>
      <w:r w:rsidR="003627F1">
        <w:rPr>
          <w:rFonts w:ascii="Tahoma" w:eastAsia="Times New Roman" w:hAnsi="Tahoma" w:cs="Tahoma"/>
          <w:sz w:val="19"/>
          <w:szCs w:val="19"/>
          <w:lang w:eastAsia="pt-BR"/>
        </w:rPr>
        <w:t>4.802</w:t>
      </w:r>
      <w:r w:rsidR="005F19FB" w:rsidRPr="009E1308">
        <w:rPr>
          <w:rFonts w:ascii="Tahoma" w:eastAsia="Times New Roman" w:hAnsi="Tahoma" w:cs="Tahoma"/>
          <w:sz w:val="19"/>
          <w:szCs w:val="19"/>
          <w:lang w:eastAsia="pt-BR"/>
        </w:rPr>
        <w:t xml:space="preserve">, de </w:t>
      </w:r>
      <w:r w:rsidR="003627F1">
        <w:rPr>
          <w:rFonts w:ascii="Tahoma" w:eastAsia="Times New Roman" w:hAnsi="Tahoma" w:cs="Tahoma"/>
          <w:sz w:val="19"/>
          <w:szCs w:val="19"/>
          <w:lang w:eastAsia="pt-BR"/>
        </w:rPr>
        <w:t>10/01/2024</w:t>
      </w:r>
      <w:r w:rsidR="005F19FB">
        <w:rPr>
          <w:rFonts w:ascii="Tahoma" w:eastAsia="Times New Roman" w:hAnsi="Tahoma" w:cs="Tahoma"/>
          <w:sz w:val="19"/>
          <w:szCs w:val="19"/>
          <w:lang w:eastAsia="pt-BR"/>
        </w:rPr>
        <w:t>): instrumento de planejamento plurianual do governo federal.</w:t>
      </w:r>
    </w:p>
    <w:p w14:paraId="53EBAB34" w14:textId="5BB2AE3C" w:rsidR="008C0E32" w:rsidRDefault="004E3BD2" w:rsidP="008C0E32">
      <w:pPr>
        <w:numPr>
          <w:ilvl w:val="0"/>
          <w:numId w:val="24"/>
        </w:numPr>
        <w:spacing w:before="120" w:after="120" w:line="360" w:lineRule="auto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19" w:history="1">
        <w:r w:rsidR="008C0E32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Estratégia Nacional de Ciência, Tecnologia e Inovação (ENCTI) 2016-2022</w:t>
        </w:r>
      </w:hyperlink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</w:t>
      </w:r>
      <w:r w:rsidR="00CC75C5" w:rsidRPr="00CC75C5">
        <w:rPr>
          <w:rFonts w:ascii="Tahoma" w:eastAsia="Times New Roman" w:hAnsi="Tahoma" w:cs="Tahoma"/>
          <w:sz w:val="19"/>
          <w:szCs w:val="19"/>
          <w:lang w:eastAsia="pt-BR"/>
        </w:rPr>
        <w:t>(adotada como referencial até a aprovação da estratégia para o ciclo 2024-2030</w:t>
      </w:r>
      <w:r w:rsidR="00F95669">
        <w:rPr>
          <w:rFonts w:ascii="Tahoma" w:eastAsia="Times New Roman" w:hAnsi="Tahoma" w:cs="Tahoma"/>
          <w:sz w:val="19"/>
          <w:szCs w:val="19"/>
          <w:lang w:eastAsia="pt-BR"/>
        </w:rPr>
        <w:t>)</w:t>
      </w:r>
      <w:r w:rsidR="00CC75C5">
        <w:rPr>
          <w:rFonts w:ascii="Tahoma" w:eastAsia="Times New Roman" w:hAnsi="Tahoma" w:cs="Tahoma"/>
          <w:sz w:val="19"/>
          <w:szCs w:val="19"/>
          <w:lang w:eastAsia="pt-BR"/>
        </w:rPr>
        <w:t>: d</w:t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>ocumento de orientação estratégica de médio prazo</w:t>
      </w:r>
      <w:r w:rsidR="009E1308">
        <w:rPr>
          <w:rStyle w:val="Refdenotaderodap"/>
          <w:rFonts w:ascii="Tahoma" w:eastAsia="Times New Roman" w:hAnsi="Tahoma" w:cs="Tahoma"/>
          <w:sz w:val="19"/>
          <w:szCs w:val="19"/>
          <w:lang w:eastAsia="pt-BR"/>
        </w:rPr>
        <w:footnoteReference w:id="9"/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>.</w:t>
      </w:r>
    </w:p>
    <w:p w14:paraId="7812110F" w14:textId="63601C7F" w:rsidR="008C0E32" w:rsidRDefault="004E3BD2" w:rsidP="008C0E32">
      <w:pPr>
        <w:numPr>
          <w:ilvl w:val="0"/>
          <w:numId w:val="24"/>
        </w:numPr>
        <w:spacing w:before="120" w:after="120" w:line="360" w:lineRule="auto"/>
        <w:ind w:left="714" w:hanging="357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20" w:history="1">
        <w:r w:rsidR="008C0E32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Estratégia Federal de Desenvolvimento para o Brasil - EFD 2020-2031</w:t>
        </w:r>
      </w:hyperlink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</w:t>
      </w:r>
      <w:r w:rsidR="009E1308">
        <w:rPr>
          <w:rFonts w:ascii="Tahoma" w:eastAsia="Times New Roman" w:hAnsi="Tahoma" w:cs="Tahoma"/>
          <w:sz w:val="19"/>
          <w:szCs w:val="19"/>
          <w:lang w:eastAsia="pt-BR"/>
        </w:rPr>
        <w:t>(</w:t>
      </w:r>
      <w:r w:rsidR="009E1308" w:rsidRPr="009E1308">
        <w:rPr>
          <w:rFonts w:ascii="Tahoma" w:eastAsia="Times New Roman" w:hAnsi="Tahoma" w:cs="Tahoma"/>
          <w:sz w:val="19"/>
          <w:szCs w:val="19"/>
          <w:lang w:eastAsia="pt-BR"/>
        </w:rPr>
        <w:t>Decreto nº 10.531, de 26</w:t>
      </w:r>
      <w:r w:rsidR="009E1308">
        <w:rPr>
          <w:rFonts w:ascii="Tahoma" w:eastAsia="Times New Roman" w:hAnsi="Tahoma" w:cs="Tahoma"/>
          <w:sz w:val="19"/>
          <w:szCs w:val="19"/>
          <w:lang w:eastAsia="pt-BR"/>
        </w:rPr>
        <w:t xml:space="preserve">/10/2020): </w:t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>declaração de planejamento governamental.</w:t>
      </w:r>
    </w:p>
    <w:p w14:paraId="68256DC6" w14:textId="77777777" w:rsidR="008C0E32" w:rsidRDefault="004E3BD2" w:rsidP="008C0E32">
      <w:pPr>
        <w:numPr>
          <w:ilvl w:val="0"/>
          <w:numId w:val="24"/>
        </w:numPr>
        <w:spacing w:before="120" w:after="120" w:line="360" w:lineRule="auto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21" w:history="1">
        <w:r w:rsidR="008C0E32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Mapa Estratégico do MCTI 2020-2023</w:t>
        </w:r>
      </w:hyperlink>
      <w:r w:rsidR="008C0E32">
        <w:rPr>
          <w:rFonts w:ascii="Tahoma" w:eastAsia="Times New Roman" w:hAnsi="Tahoma" w:cs="Tahoma"/>
          <w:sz w:val="19"/>
          <w:szCs w:val="19"/>
          <w:lang w:eastAsia="pt-BR"/>
        </w:rPr>
        <w:t>.</w:t>
      </w:r>
    </w:p>
    <w:p w14:paraId="7EF1328C" w14:textId="10C4DC31" w:rsidR="008C0E32" w:rsidRDefault="004E3BD2" w:rsidP="008C0E32">
      <w:pPr>
        <w:numPr>
          <w:ilvl w:val="0"/>
          <w:numId w:val="24"/>
        </w:numPr>
        <w:spacing w:before="120" w:after="120" w:line="360" w:lineRule="auto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22" w:history="1">
        <w:r w:rsidR="008C0E32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Plano Anual de Investimento do Fundo Nacional de Desenvolvimento Científico e Tecnológico (FNDCT) 2023</w:t>
        </w:r>
      </w:hyperlink>
      <w:r w:rsidR="007A7379">
        <w:rPr>
          <w:rStyle w:val="Refdenotaderodap"/>
          <w:rFonts w:ascii="Tahoma" w:eastAsia="Times New Roman" w:hAnsi="Tahoma" w:cs="Tahoma"/>
          <w:color w:val="0563C1"/>
          <w:sz w:val="19"/>
          <w:szCs w:val="19"/>
          <w:u w:val="single"/>
          <w:lang w:eastAsia="pt-BR"/>
        </w:rPr>
        <w:footnoteReference w:id="10"/>
      </w:r>
      <w:r w:rsidR="00156ABA">
        <w:rPr>
          <w:rFonts w:ascii="Tahoma" w:eastAsia="Times New Roman" w:hAnsi="Tahoma" w:cs="Tahoma"/>
          <w:sz w:val="19"/>
          <w:szCs w:val="19"/>
          <w:lang w:eastAsia="pt-BR"/>
        </w:rPr>
        <w:t>:</w:t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</w:t>
      </w:r>
      <w:r w:rsidR="007A7379">
        <w:rPr>
          <w:rFonts w:ascii="Tahoma" w:eastAsia="Times New Roman" w:hAnsi="Tahoma" w:cs="Tahoma"/>
          <w:sz w:val="19"/>
          <w:szCs w:val="19"/>
          <w:lang w:eastAsia="pt-BR"/>
        </w:rPr>
        <w:t>expressa o</w:t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planejamento da alocação d</w:t>
      </w:r>
      <w:r w:rsidR="007A7379">
        <w:rPr>
          <w:rFonts w:ascii="Tahoma" w:eastAsia="Times New Roman" w:hAnsi="Tahoma" w:cs="Tahoma"/>
          <w:sz w:val="19"/>
          <w:szCs w:val="19"/>
          <w:lang w:eastAsia="pt-BR"/>
        </w:rPr>
        <w:t>os</w:t>
      </w:r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recursos do FNDCT.</w:t>
      </w:r>
    </w:p>
    <w:p w14:paraId="062D1B1A" w14:textId="7B60FFD5" w:rsidR="008C0E32" w:rsidRDefault="004E3BD2" w:rsidP="008C0E32">
      <w:pPr>
        <w:numPr>
          <w:ilvl w:val="0"/>
          <w:numId w:val="24"/>
        </w:numPr>
        <w:spacing w:before="120" w:after="120" w:line="360" w:lineRule="auto"/>
        <w:ind w:left="714" w:hanging="357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hyperlink r:id="rId23" w:history="1">
        <w:r w:rsidR="008C0E32">
          <w:rPr>
            <w:rStyle w:val="Hyperlink"/>
            <w:rFonts w:ascii="Tahoma" w:eastAsia="Times New Roman" w:hAnsi="Tahoma" w:cs="Tahoma"/>
            <w:color w:val="0563C1"/>
            <w:sz w:val="19"/>
            <w:szCs w:val="19"/>
            <w:lang w:eastAsia="pt-BR"/>
          </w:rPr>
          <w:t>Nova política industrial</w:t>
        </w:r>
      </w:hyperlink>
      <w:r w:rsidR="008C0E32">
        <w:rPr>
          <w:rFonts w:ascii="Tahoma" w:eastAsia="Times New Roman" w:hAnsi="Tahoma" w:cs="Tahoma"/>
          <w:sz w:val="19"/>
          <w:szCs w:val="19"/>
          <w:lang w:eastAsia="pt-BR"/>
        </w:rPr>
        <w:t xml:space="preserve"> - Resolução CNDI/MDIC nº 1, de 06/07/23</w:t>
      </w:r>
      <w:r w:rsidR="007A7379">
        <w:rPr>
          <w:rStyle w:val="Refdenotaderodap"/>
          <w:rFonts w:ascii="Tahoma" w:eastAsia="Times New Roman" w:hAnsi="Tahoma" w:cs="Tahoma"/>
          <w:sz w:val="19"/>
          <w:szCs w:val="19"/>
          <w:lang w:eastAsia="pt-BR"/>
        </w:rPr>
        <w:footnoteReference w:id="11"/>
      </w:r>
      <w:r w:rsidR="00156ABA">
        <w:rPr>
          <w:rFonts w:ascii="Tahoma" w:eastAsia="Times New Roman" w:hAnsi="Tahoma" w:cs="Tahoma"/>
          <w:sz w:val="19"/>
          <w:szCs w:val="19"/>
          <w:lang w:eastAsia="pt-BR"/>
        </w:rPr>
        <w:t xml:space="preserve">: documento que tem a finalidade de </w:t>
      </w:r>
      <w:r w:rsidR="00156ABA" w:rsidRPr="00156ABA">
        <w:rPr>
          <w:rFonts w:ascii="Tahoma" w:eastAsia="Times New Roman" w:hAnsi="Tahoma" w:cs="Tahoma"/>
          <w:sz w:val="19"/>
          <w:szCs w:val="19"/>
          <w:lang w:eastAsia="pt-BR"/>
        </w:rPr>
        <w:t xml:space="preserve">nortear as ações do Estado </w:t>
      </w:r>
      <w:r w:rsidR="00156ABA">
        <w:rPr>
          <w:rFonts w:ascii="Tahoma" w:eastAsia="Times New Roman" w:hAnsi="Tahoma" w:cs="Tahoma"/>
          <w:sz w:val="19"/>
          <w:szCs w:val="19"/>
          <w:lang w:eastAsia="pt-BR"/>
        </w:rPr>
        <w:t>b</w:t>
      </w:r>
      <w:r w:rsidR="00156ABA" w:rsidRPr="00156ABA">
        <w:rPr>
          <w:rFonts w:ascii="Tahoma" w:eastAsia="Times New Roman" w:hAnsi="Tahoma" w:cs="Tahoma"/>
          <w:sz w:val="19"/>
          <w:szCs w:val="19"/>
          <w:lang w:eastAsia="pt-BR"/>
        </w:rPr>
        <w:t>rasileiro em favor do desenvolvimento industrial.</w:t>
      </w:r>
    </w:p>
    <w:p w14:paraId="5C389A72" w14:textId="02CAC091" w:rsidR="00F8637C" w:rsidRPr="00352C83" w:rsidRDefault="00F8637C" w:rsidP="003E606E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No que concerne ao Plano Plurianual (PPA) 2020-2023, a Finep </w:t>
      </w:r>
      <w:r w:rsidR="00E0033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deverá 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contribu</w:t>
      </w:r>
      <w:r w:rsidR="003E606E">
        <w:rPr>
          <w:rFonts w:ascii="Tahoma" w:eastAsia="SimSun" w:hAnsi="Tahoma" w:cs="Tahoma"/>
          <w:kern w:val="3"/>
          <w:sz w:val="19"/>
          <w:szCs w:val="19"/>
          <w:lang w:bidi="hi-IN"/>
        </w:rPr>
        <w:t>ir</w:t>
      </w:r>
      <w:r w:rsidR="00F860E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diretamente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para a execução dos programas </w:t>
      </w:r>
      <w:r w:rsidR="003E606E" w:rsidRPr="003E606E">
        <w:rPr>
          <w:rFonts w:ascii="Tahoma" w:eastAsia="SimSun" w:hAnsi="Tahoma" w:cs="Tahoma"/>
          <w:kern w:val="3"/>
          <w:sz w:val="19"/>
          <w:szCs w:val="19"/>
          <w:lang w:bidi="hi-IN"/>
        </w:rPr>
        <w:t>2308 - Consolidação do Sistema Nacional de CT&amp;I (SNCTI)</w:t>
      </w:r>
      <w:r w:rsidR="003E606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 </w:t>
      </w:r>
      <w:r w:rsidR="003E606E" w:rsidRPr="003E606E">
        <w:rPr>
          <w:rFonts w:ascii="Tahoma" w:eastAsia="SimSun" w:hAnsi="Tahoma" w:cs="Tahoma"/>
          <w:kern w:val="3"/>
          <w:sz w:val="19"/>
          <w:szCs w:val="19"/>
          <w:lang w:bidi="hi-IN"/>
        </w:rPr>
        <w:t>2324 - Inovação nas Empresas para uma nova Industrialização</w:t>
      </w:r>
      <w:r w:rsidR="00E0033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(ver Quadro 1)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</w:t>
      </w:r>
      <w:r w:rsidR="00156ABA">
        <w:rPr>
          <w:rFonts w:ascii="Tahoma" w:eastAsia="SimSun" w:hAnsi="Tahoma" w:cs="Tahoma"/>
          <w:kern w:val="3"/>
          <w:sz w:val="19"/>
          <w:szCs w:val="19"/>
          <w:lang w:bidi="hi-IN"/>
        </w:rPr>
        <w:t>que f</w:t>
      </w:r>
      <w:r w:rsidR="003E606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azem </w:t>
      </w:r>
      <w:r w:rsidR="00156AB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parte dos programas sob 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responsabilidade do MCTI</w:t>
      </w:r>
      <w:bookmarkStart w:id="8" w:name="_Toc513736549"/>
      <w:bookmarkStart w:id="9" w:name="_Ref508978218"/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 w:rsidR="00F860E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Estes programas 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se articul</w:t>
      </w:r>
      <w:r w:rsidR="00F95669">
        <w:rPr>
          <w:rFonts w:ascii="Tahoma" w:eastAsia="SimSun" w:hAnsi="Tahoma" w:cs="Tahoma"/>
          <w:kern w:val="3"/>
          <w:sz w:val="19"/>
          <w:szCs w:val="19"/>
          <w:lang w:bidi="hi-IN"/>
        </w:rPr>
        <w:t>a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m diretamente às ideias de potencialização da capacidade científica nacional e promoção do empreendedorismo e </w:t>
      </w:r>
      <w:r w:rsidR="003E606E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da 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inovação.</w:t>
      </w:r>
    </w:p>
    <w:p w14:paraId="0289F2F1" w14:textId="190A93A5" w:rsidR="00F8637C" w:rsidRPr="00352C83" w:rsidRDefault="00F8637C" w:rsidP="00F8637C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352C83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lastRenderedPageBreak/>
        <w:t xml:space="preserve">Quadro </w:t>
      </w:r>
      <w:r w:rsidR="002E20FB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1</w:t>
      </w:r>
      <w:r w:rsidRPr="00352C83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- Síntese das informações sobre os Programas </w:t>
      </w:r>
      <w:r w:rsidR="003E606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2308 e 2324</w:t>
      </w:r>
      <w:r w:rsidRPr="00352C83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– PPA 202</w:t>
      </w:r>
      <w:r w:rsidR="003E606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4</w:t>
      </w:r>
      <w:r w:rsidRPr="00352C83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-202</w:t>
      </w:r>
      <w:r w:rsidR="003E606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7</w:t>
      </w:r>
    </w:p>
    <w:tbl>
      <w:tblPr>
        <w:tblW w:w="97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6946"/>
      </w:tblGrid>
      <w:tr w:rsidR="00A14D6C" w:rsidRPr="00BB5A05" w14:paraId="2CDF25A3" w14:textId="77777777" w:rsidTr="00A14D6C">
        <w:trPr>
          <w:trHeight w:val="440"/>
          <w:tblHeader/>
        </w:trPr>
        <w:tc>
          <w:tcPr>
            <w:tcW w:w="2830" w:type="dxa"/>
            <w:shd w:val="clear" w:color="auto" w:fill="00505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bookmarkEnd w:id="8"/>
          <w:bookmarkEnd w:id="9"/>
          <w:p w14:paraId="0139ADC5" w14:textId="77777777" w:rsidR="00A14D6C" w:rsidRPr="00BB5A05" w:rsidRDefault="00A14D6C" w:rsidP="00CA4280">
            <w:pPr>
              <w:widowControl w:val="0"/>
              <w:suppressAutoHyphens/>
              <w:autoSpaceDN w:val="0"/>
              <w:spacing w:before="120" w:after="120" w:line="240" w:lineRule="auto"/>
              <w:jc w:val="both"/>
              <w:textAlignment w:val="baseline"/>
              <w:rPr>
                <w:rFonts w:ascii="Tahoma" w:eastAsia="SimSun" w:hAnsi="Tahoma" w:cs="Tahoma"/>
                <w:bCs/>
                <w:kern w:val="3"/>
                <w:sz w:val="18"/>
                <w:szCs w:val="18"/>
                <w:lang w:bidi="hi-IN"/>
              </w:rPr>
            </w:pPr>
            <w:r w:rsidRPr="00BB5A05">
              <w:rPr>
                <w:rFonts w:ascii="Tahoma" w:eastAsia="SimSun" w:hAnsi="Tahoma" w:cs="Tahoma"/>
                <w:bCs/>
                <w:kern w:val="3"/>
                <w:sz w:val="18"/>
                <w:szCs w:val="18"/>
                <w:lang w:bidi="hi-IN"/>
              </w:rPr>
              <w:t>Programa</w:t>
            </w:r>
          </w:p>
        </w:tc>
        <w:tc>
          <w:tcPr>
            <w:tcW w:w="6946" w:type="dxa"/>
            <w:shd w:val="clear" w:color="auto" w:fill="00505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C041C" w14:textId="300D5D33" w:rsidR="00A14D6C" w:rsidRPr="00BB5A05" w:rsidRDefault="00A14D6C" w:rsidP="00CA4280">
            <w:pPr>
              <w:widowControl w:val="0"/>
              <w:suppressAutoHyphens/>
              <w:autoSpaceDN w:val="0"/>
              <w:spacing w:before="120" w:after="120" w:line="240" w:lineRule="auto"/>
              <w:jc w:val="both"/>
              <w:textAlignment w:val="baseline"/>
              <w:rPr>
                <w:rFonts w:ascii="Tahoma" w:eastAsia="SimSun" w:hAnsi="Tahoma" w:cs="Tahoma"/>
                <w:bCs/>
                <w:kern w:val="3"/>
                <w:sz w:val="18"/>
                <w:szCs w:val="18"/>
                <w:lang w:bidi="hi-IN"/>
              </w:rPr>
            </w:pPr>
            <w:r w:rsidRPr="00BB5A05">
              <w:rPr>
                <w:rFonts w:ascii="Tahoma" w:eastAsia="SimSun" w:hAnsi="Tahoma" w:cs="Tahoma"/>
                <w:bCs/>
                <w:kern w:val="3"/>
                <w:sz w:val="18"/>
                <w:szCs w:val="18"/>
                <w:lang w:bidi="hi-IN"/>
              </w:rPr>
              <w:t>Objetivo</w:t>
            </w:r>
            <w:r w:rsidR="00CB22B1">
              <w:rPr>
                <w:rFonts w:ascii="Tahoma" w:eastAsia="SimSun" w:hAnsi="Tahoma" w:cs="Tahoma"/>
                <w:bCs/>
                <w:kern w:val="3"/>
                <w:sz w:val="18"/>
                <w:szCs w:val="18"/>
                <w:lang w:bidi="hi-IN"/>
              </w:rPr>
              <w:t xml:space="preserve"> geral</w:t>
            </w:r>
          </w:p>
        </w:tc>
      </w:tr>
      <w:tr w:rsidR="00A14D6C" w:rsidRPr="00BB5A05" w14:paraId="4838D93F" w14:textId="77777777" w:rsidTr="00A14D6C">
        <w:trPr>
          <w:trHeight w:val="1548"/>
        </w:trPr>
        <w:tc>
          <w:tcPr>
            <w:tcW w:w="283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3B7D5" w14:textId="6ECB0331" w:rsidR="00A14D6C" w:rsidRPr="00BB5A05" w:rsidRDefault="00A14D6C" w:rsidP="00CA4280">
            <w:pPr>
              <w:widowControl w:val="0"/>
              <w:suppressAutoHyphens/>
              <w:autoSpaceDN w:val="0"/>
              <w:spacing w:before="120" w:after="120" w:line="240" w:lineRule="auto"/>
              <w:textAlignment w:val="baseline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2308 - </w:t>
            </w:r>
            <w:r w:rsidRPr="003E606E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Consolidação do Sistema Nacional de CT&amp;I (SNCTI)</w:t>
            </w:r>
          </w:p>
        </w:tc>
        <w:tc>
          <w:tcPr>
            <w:tcW w:w="694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02326" w14:textId="0011682D" w:rsidR="00A14D6C" w:rsidRPr="00BB5A05" w:rsidRDefault="00A14D6C" w:rsidP="00A14D6C">
            <w:pPr>
              <w:widowControl w:val="0"/>
              <w:suppressAutoHyphens/>
              <w:autoSpaceDN w:val="0"/>
              <w:spacing w:before="120" w:after="120" w:line="240" w:lineRule="auto"/>
              <w:textAlignment w:val="baseline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0C3EA9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Recuperar, expandir, modernizar, consolidar e integrar o Sistema Nacional de Ciência, Tecnologia e Inovação, promovendo a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 </w:t>
            </w:r>
            <w:r w:rsidRPr="000C3EA9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articulação com a sociedade civil e os governos estaduais e municipais, a difusão de capacidades e a redução de assimetrias</w:t>
            </w:r>
            <w:r w:rsidR="00CB22B1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.</w:t>
            </w:r>
          </w:p>
        </w:tc>
      </w:tr>
      <w:tr w:rsidR="00A14D6C" w:rsidRPr="00BB5A05" w14:paraId="77262653" w14:textId="77777777" w:rsidTr="00A14D6C">
        <w:trPr>
          <w:trHeight w:val="1542"/>
        </w:trPr>
        <w:tc>
          <w:tcPr>
            <w:tcW w:w="283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32139" w14:textId="450335D2" w:rsidR="00A14D6C" w:rsidRPr="00BB5A05" w:rsidRDefault="00A14D6C" w:rsidP="00CA4280">
            <w:pPr>
              <w:widowControl w:val="0"/>
              <w:suppressAutoHyphens/>
              <w:autoSpaceDN w:val="0"/>
              <w:spacing w:before="120" w:after="120" w:line="240" w:lineRule="auto"/>
              <w:textAlignment w:val="baseline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3E606E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2324 - Inovação nas Empresas para uma nova Industrialização</w:t>
            </w:r>
          </w:p>
        </w:tc>
        <w:tc>
          <w:tcPr>
            <w:tcW w:w="694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E71A8" w14:textId="36D62B5D" w:rsidR="00A14D6C" w:rsidRPr="00BB5A05" w:rsidRDefault="00A14D6C" w:rsidP="00A14D6C">
            <w:pPr>
              <w:widowControl w:val="0"/>
              <w:suppressAutoHyphens/>
              <w:autoSpaceDN w:val="0"/>
              <w:spacing w:before="120" w:after="120" w:line="240" w:lineRule="auto"/>
              <w:textAlignment w:val="baseline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14D6C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Promover e apoiar o desenvolvimento tecnológico e a inovação nas empresas nacionais, com foco em projetos que alavanquem a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 </w:t>
            </w:r>
            <w:r w:rsidRPr="00A14D6C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industrialização do País por meio da promoção de atividades que adicionem valor à produção nacional</w:t>
            </w:r>
            <w:r w:rsidR="00CB22B1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.</w:t>
            </w:r>
          </w:p>
        </w:tc>
      </w:tr>
    </w:tbl>
    <w:p w14:paraId="30A15944" w14:textId="7374356A" w:rsidR="00CE1D31" w:rsidRPr="00352C83" w:rsidRDefault="00F8637C" w:rsidP="006B4C15">
      <w:pPr>
        <w:widowControl w:val="0"/>
        <w:suppressAutoHyphens/>
        <w:autoSpaceDN w:val="0"/>
        <w:spacing w:before="120" w:after="120" w:line="240" w:lineRule="auto"/>
        <w:textAlignment w:val="baseline"/>
        <w:rPr>
          <w:rFonts w:ascii="Tahoma" w:eastAsia="SimSun" w:hAnsi="Tahoma" w:cs="Tahoma"/>
          <w:bCs/>
          <w:kern w:val="3"/>
          <w:sz w:val="19"/>
          <w:szCs w:val="19"/>
          <w:lang w:bidi="hi-IN"/>
        </w:rPr>
      </w:pPr>
      <w:r w:rsidRPr="00352C83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 xml:space="preserve">Fonte: </w:t>
      </w:r>
      <w:r w:rsidR="006B4C15" w:rsidRP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PPA 202</w:t>
      </w:r>
      <w:r w:rsidR="000C3EA9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4</w:t>
      </w:r>
      <w:r w:rsidR="006B4C15" w:rsidRP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-202</w:t>
      </w:r>
      <w:r w:rsidR="000C3EA9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7</w:t>
      </w:r>
      <w:r w:rsid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 xml:space="preserve">, </w:t>
      </w:r>
      <w:r w:rsidR="00A14D6C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 xml:space="preserve">Anexo III – Programas Finalísticos, </w:t>
      </w:r>
      <w:r w:rsid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 xml:space="preserve">páginas </w:t>
      </w:r>
      <w:r w:rsidR="00A14D6C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50-52 e 90-92</w:t>
      </w:r>
      <w:r w:rsid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 xml:space="preserve"> (</w:t>
      </w:r>
      <w:hyperlink r:id="rId24" w:history="1">
        <w:r w:rsidR="00A14D6C" w:rsidRPr="007D2AC7">
          <w:rPr>
            <w:rStyle w:val="Hyperlink"/>
            <w:rFonts w:ascii="Tahoma" w:eastAsia="SimSun" w:hAnsi="Tahoma" w:cs="Tahoma"/>
            <w:bCs/>
            <w:kern w:val="3"/>
            <w:sz w:val="19"/>
            <w:szCs w:val="19"/>
            <w:lang w:bidi="hi-IN"/>
          </w:rPr>
          <w:t>https://www.gov.br/planejamento/pt-br/assuntos/plano-plurianual/paginas/lei-do-ppa</w:t>
        </w:r>
      </w:hyperlink>
      <w:r w:rsid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)</w:t>
      </w:r>
      <w:r w:rsidR="006B4C15" w:rsidRPr="006B4C15">
        <w:rPr>
          <w:rFonts w:ascii="Tahoma" w:eastAsia="SimSun" w:hAnsi="Tahoma" w:cs="Tahoma"/>
          <w:bCs/>
          <w:kern w:val="3"/>
          <w:sz w:val="19"/>
          <w:szCs w:val="19"/>
          <w:lang w:bidi="hi-IN"/>
        </w:rPr>
        <w:t>.</w:t>
      </w:r>
    </w:p>
    <w:p w14:paraId="4BEB6FF1" w14:textId="77777777" w:rsidR="00011055" w:rsidRDefault="00011055" w:rsidP="002E20F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805D27D" w14:textId="77777777" w:rsidR="00352C83" w:rsidRPr="007752C3" w:rsidRDefault="00352C83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10" w:name="_Toc49448284"/>
      <w:bookmarkStart w:id="11" w:name="_Toc71730099"/>
      <w:bookmarkStart w:id="12" w:name="_Toc166575246"/>
      <w:bookmarkEnd w:id="6"/>
      <w:bookmarkEnd w:id="7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Metas relativas ao desenvolvimento de atividades que atendam aos objetivos d</w:t>
      </w:r>
      <w:r w:rsidR="009645DF"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as</w:t>
      </w:r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 xml:space="preserve"> políticas públicas</w:t>
      </w:r>
      <w:bookmarkEnd w:id="10"/>
      <w:bookmarkEnd w:id="11"/>
      <w:bookmarkEnd w:id="12"/>
    </w:p>
    <w:p w14:paraId="0268D6B6" w14:textId="5108500C" w:rsidR="005F27CF" w:rsidRDefault="008A1B62" w:rsidP="00581B3F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As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políticas públicas descritas no item </w:t>
      </w:r>
      <w:r w:rsidR="005C55A1">
        <w:rPr>
          <w:rFonts w:ascii="Tahoma" w:eastAsia="SimSun" w:hAnsi="Tahoma" w:cs="Tahoma"/>
          <w:kern w:val="3"/>
          <w:sz w:val="19"/>
          <w:szCs w:val="19"/>
          <w:lang w:bidi="hi-IN"/>
        </w:rPr>
        <w:t>1.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2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deste documento orienta</w:t>
      </w:r>
      <w:r w:rsidR="006F1CF9">
        <w:rPr>
          <w:rFonts w:ascii="Tahoma" w:eastAsia="SimSun" w:hAnsi="Tahoma" w:cs="Tahoma"/>
          <w:kern w:val="3"/>
          <w:sz w:val="19"/>
          <w:szCs w:val="19"/>
          <w:lang w:bidi="hi-IN"/>
        </w:rPr>
        <w:t>ra</w:t>
      </w:r>
      <w:r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m a definição d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estratégia, objetivos e metas corporativas da Finep. </w:t>
      </w:r>
      <w:r w:rsidR="00352C83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</w:t>
      </w:r>
      <w:r w:rsidR="00352C83" w:rsidRPr="00352C83">
        <w:rPr>
          <w:rFonts w:ascii="Tahoma" w:eastAsia="SimSun" w:hAnsi="Tahoma" w:cs="Tahoma"/>
          <w:b/>
          <w:kern w:val="3"/>
          <w:sz w:val="19"/>
          <w:szCs w:val="19"/>
          <w:lang w:bidi="hi-IN"/>
        </w:rPr>
        <w:t>Objetivos Estratégicos</w:t>
      </w:r>
      <w:r w:rsidR="00352C83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4B4631" w:rsidRPr="00706A6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 seus respectivos indicadores e metas, constantes </w:t>
      </w:r>
      <w:r w:rsidR="00706A60" w:rsidRPr="00706A6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da </w:t>
      </w:r>
      <w:r w:rsidR="00352C83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Estratégia de Longo Prazo e Plano de Negócios 202</w:t>
      </w:r>
      <w:r w:rsidR="006F1CF9">
        <w:rPr>
          <w:rFonts w:ascii="Tahoma" w:eastAsia="SimSun" w:hAnsi="Tahoma" w:cs="Tahoma"/>
          <w:kern w:val="3"/>
          <w:sz w:val="19"/>
          <w:szCs w:val="19"/>
          <w:lang w:bidi="hi-IN"/>
        </w:rPr>
        <w:t>4</w:t>
      </w:r>
      <w:r w:rsidR="005F27CF">
        <w:rPr>
          <w:rFonts w:ascii="Tahoma" w:eastAsia="SimSun" w:hAnsi="Tahoma" w:cs="Tahoma"/>
          <w:kern w:val="3"/>
          <w:sz w:val="19"/>
          <w:szCs w:val="19"/>
          <w:lang w:bidi="hi-IN"/>
        </w:rPr>
        <w:t>,</w:t>
      </w:r>
      <w:r w:rsidR="00352C83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estão listados </w:t>
      </w:r>
      <w:r w:rsidR="0003636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no Quadro </w:t>
      </w:r>
      <w:r w:rsidR="00812DBE">
        <w:rPr>
          <w:rFonts w:ascii="Tahoma" w:eastAsia="SimSun" w:hAnsi="Tahoma" w:cs="Tahoma"/>
          <w:kern w:val="3"/>
          <w:sz w:val="19"/>
          <w:szCs w:val="19"/>
          <w:lang w:bidi="hi-IN"/>
        </w:rPr>
        <w:t>2</w:t>
      </w:r>
      <w:r w:rsidR="00542C7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</w:t>
      </w:r>
      <w:r w:rsidR="00352C83" w:rsidRPr="00352C83">
        <w:rPr>
          <w:rFonts w:ascii="Tahoma" w:eastAsia="SimSun" w:hAnsi="Tahoma" w:cs="Tahoma"/>
          <w:kern w:val="3"/>
          <w:sz w:val="19"/>
          <w:szCs w:val="19"/>
          <w:lang w:bidi="hi-IN"/>
        </w:rPr>
        <w:t>a seguir:</w:t>
      </w:r>
    </w:p>
    <w:p w14:paraId="0B01BAAB" w14:textId="5077C728" w:rsidR="00B40A14" w:rsidRPr="00036369" w:rsidRDefault="00036369" w:rsidP="00352C83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i/>
          <w:kern w:val="3"/>
          <w:sz w:val="19"/>
          <w:szCs w:val="19"/>
          <w:lang w:bidi="hi-IN"/>
        </w:rPr>
      </w:pPr>
      <w:r w:rsidRPr="00036369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 xml:space="preserve">Quadro </w:t>
      </w:r>
      <w:r w:rsidR="00812DBE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>2</w:t>
      </w:r>
      <w:r w:rsidRPr="00036369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 xml:space="preserve"> – Objetivos estratégicos e </w:t>
      </w:r>
      <w:r w:rsidR="005C058C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 xml:space="preserve">metas </w:t>
      </w:r>
      <w:r w:rsidRPr="00036369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>202</w:t>
      </w:r>
      <w:r w:rsidR="006F1CF9">
        <w:rPr>
          <w:rFonts w:ascii="Tahoma" w:eastAsia="SimSun" w:hAnsi="Tahoma" w:cs="Tahoma"/>
          <w:i/>
          <w:kern w:val="3"/>
          <w:sz w:val="19"/>
          <w:szCs w:val="19"/>
          <w:lang w:bidi="hi-IN"/>
        </w:rPr>
        <w:t>4</w:t>
      </w:r>
    </w:p>
    <w:tbl>
      <w:tblPr>
        <w:tblW w:w="9920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415"/>
        <w:gridCol w:w="3052"/>
        <w:gridCol w:w="2901"/>
        <w:gridCol w:w="2552"/>
      </w:tblGrid>
      <w:tr w:rsidR="007D4F87" w:rsidRPr="00A1203D" w14:paraId="188B7E13" w14:textId="77777777" w:rsidTr="00656EFF">
        <w:trPr>
          <w:trHeight w:val="964"/>
          <w:tblHeader/>
        </w:trPr>
        <w:tc>
          <w:tcPr>
            <w:tcW w:w="1415" w:type="dxa"/>
            <w:shd w:val="clear" w:color="005051" w:fill="005051"/>
            <w:vAlign w:val="center"/>
          </w:tcPr>
          <w:p w14:paraId="129FC71B" w14:textId="4B645106" w:rsidR="007D4F87" w:rsidRPr="00A1203D" w:rsidRDefault="00133FA5" w:rsidP="0093501C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Dimensão</w:t>
            </w:r>
          </w:p>
        </w:tc>
        <w:tc>
          <w:tcPr>
            <w:tcW w:w="3052" w:type="dxa"/>
            <w:shd w:val="clear" w:color="005051" w:fill="005051"/>
            <w:vAlign w:val="center"/>
          </w:tcPr>
          <w:p w14:paraId="38AB0E07" w14:textId="4D8F6EF0" w:rsidR="007D4F87" w:rsidRPr="00A1203D" w:rsidRDefault="007D4F87" w:rsidP="0093501C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Objetivo estratégico</w:t>
            </w:r>
          </w:p>
        </w:tc>
        <w:tc>
          <w:tcPr>
            <w:tcW w:w="2901" w:type="dxa"/>
            <w:shd w:val="clear" w:color="005051" w:fill="005051"/>
            <w:vAlign w:val="center"/>
            <w:hideMark/>
          </w:tcPr>
          <w:p w14:paraId="57D33122" w14:textId="6AA435A6" w:rsidR="007D4F87" w:rsidRPr="00A1203D" w:rsidRDefault="007D4F87" w:rsidP="0093501C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Indicador</w:t>
            </w:r>
          </w:p>
        </w:tc>
        <w:tc>
          <w:tcPr>
            <w:tcW w:w="2552" w:type="dxa"/>
            <w:shd w:val="clear" w:color="005051" w:fill="005051"/>
            <w:vAlign w:val="center"/>
            <w:hideMark/>
          </w:tcPr>
          <w:p w14:paraId="7D3C93DF" w14:textId="25760E95" w:rsidR="007D4F87" w:rsidRPr="00A1203D" w:rsidRDefault="007D4F87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Meta 202</w:t>
            </w:r>
            <w:r w:rsidR="00D93036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4</w:t>
            </w:r>
          </w:p>
        </w:tc>
      </w:tr>
      <w:tr w:rsidR="00792397" w:rsidRPr="00A1203D" w14:paraId="1752D6F4" w14:textId="77777777" w:rsidTr="00195DF9">
        <w:trPr>
          <w:trHeight w:val="567"/>
        </w:trPr>
        <w:tc>
          <w:tcPr>
            <w:tcW w:w="1415" w:type="dxa"/>
            <w:vMerge w:val="restart"/>
            <w:vAlign w:val="center"/>
          </w:tcPr>
          <w:p w14:paraId="7AB76642" w14:textId="50057ED5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Resultados institucionais</w:t>
            </w:r>
          </w:p>
        </w:tc>
        <w:tc>
          <w:tcPr>
            <w:tcW w:w="3052" w:type="dxa"/>
            <w:vMerge w:val="restart"/>
            <w:vAlign w:val="center"/>
          </w:tcPr>
          <w:p w14:paraId="36694A5F" w14:textId="1E2852AE" w:rsidR="00792397" w:rsidRPr="00A1203D" w:rsidRDefault="00792397" w:rsidP="00D9303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Promover o desenvolvimento sustentável do país através de ações de fomento em CT&amp;I</w:t>
            </w:r>
          </w:p>
        </w:tc>
        <w:tc>
          <w:tcPr>
            <w:tcW w:w="2901" w:type="dxa"/>
            <w:vAlign w:val="center"/>
          </w:tcPr>
          <w:p w14:paraId="3A704E68" w14:textId="0730BDB8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equidade regional -</w:t>
            </w:r>
            <w:r w:rsid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N</w:t>
            </w:r>
            <w:r w:rsidR="00361E76">
              <w:rPr>
                <w:rFonts w:eastAsia="Times New Roman"/>
                <w:color w:val="000000"/>
                <w:lang w:eastAsia="pt-BR"/>
              </w:rPr>
              <w:t>úmero de p</w:t>
            </w: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rojetos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20FD9E0" w14:textId="77777777" w:rsidR="00A33817" w:rsidRPr="00A33817" w:rsidRDefault="00A33817" w:rsidP="00A3381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6% (reembolsável)</w:t>
            </w:r>
          </w:p>
          <w:p w14:paraId="7DE104BF" w14:textId="55261B33" w:rsidR="00792397" w:rsidRPr="00A1203D" w:rsidRDefault="00A33817" w:rsidP="00A3381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43,5% (não reembolsável)</w:t>
            </w:r>
          </w:p>
        </w:tc>
      </w:tr>
      <w:tr w:rsidR="00792397" w:rsidRPr="00A1203D" w14:paraId="523E2C1C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0DA73DC" w14:textId="5FC2D22A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246B3BE5" w14:textId="68DAE6F0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600D09AF" w14:textId="48A75C37" w:rsidR="00792397" w:rsidRPr="00A1203D" w:rsidRDefault="00792397" w:rsidP="00A1203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equidade regional -Valor financiado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1D7255A6" w14:textId="77777777" w:rsidR="00A33817" w:rsidRPr="00A33817" w:rsidRDefault="00A33817" w:rsidP="00A3381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15,68% (reembolsável)</w:t>
            </w:r>
          </w:p>
          <w:p w14:paraId="53EB5AD0" w14:textId="464C7202" w:rsidR="00792397" w:rsidRPr="00A1203D" w:rsidRDefault="00A33817" w:rsidP="00A3381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17,65% (não reembolsável)</w:t>
            </w:r>
          </w:p>
        </w:tc>
      </w:tr>
      <w:tr w:rsidR="00792397" w:rsidRPr="00A1203D" w14:paraId="2D2D2FAD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1DE194FF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 w:val="restart"/>
            <w:vAlign w:val="center"/>
          </w:tcPr>
          <w:p w14:paraId="50988EC1" w14:textId="3AFE112C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Induzir os investimentos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D9303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no sistema nacional de CT&amp;I</w:t>
            </w:r>
          </w:p>
        </w:tc>
        <w:tc>
          <w:tcPr>
            <w:tcW w:w="2901" w:type="dxa"/>
            <w:vAlign w:val="center"/>
          </w:tcPr>
          <w:p w14:paraId="67140B32" w14:textId="320B73EE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Execução dos recursos não reembolsáveis do FNDCT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3F7622F2" w14:textId="34EE9216" w:rsidR="00792397" w:rsidRPr="00A84865" w:rsidRDefault="00A33817" w:rsidP="00A848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99,87%</w:t>
            </w:r>
          </w:p>
        </w:tc>
      </w:tr>
      <w:tr w:rsidR="00792397" w:rsidRPr="00A1203D" w14:paraId="312E6AB7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728F437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792DCB67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6CE11E22" w14:textId="307B7C4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Liberação de recursos reembolsável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134DF7F7" w14:textId="29FEBD52" w:rsidR="00792397" w:rsidRPr="00A84865" w:rsidRDefault="00792397" w:rsidP="00A848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8486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R$ 5,66 bilhões</w:t>
            </w:r>
          </w:p>
        </w:tc>
      </w:tr>
      <w:tr w:rsidR="00792397" w:rsidRPr="00A1203D" w14:paraId="655FE939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203CEDAC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C769E59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4DA5A562" w14:textId="6F38046B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Contratação reembolsável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66C66D67" w14:textId="4B22F314" w:rsidR="00792397" w:rsidRPr="00A1203D" w:rsidRDefault="00792397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R$ 6,5 bilhões</w:t>
            </w:r>
          </w:p>
        </w:tc>
      </w:tr>
      <w:tr w:rsidR="00792397" w:rsidRPr="00A1203D" w14:paraId="2CF14070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94B3267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4D99AAB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3B0F78B3" w14:textId="442198E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Compromisso de investimento em FIPS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5B96380D" w14:textId="60D12287" w:rsidR="00792397" w:rsidRPr="00A1203D" w:rsidRDefault="00792397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8486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R$ 120 milhões</w:t>
            </w:r>
          </w:p>
        </w:tc>
      </w:tr>
      <w:tr w:rsidR="00792397" w:rsidRPr="00A1203D" w14:paraId="7727CFD7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2DEDC784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160BD3C5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5EC7E49C" w14:textId="3BC7B2D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15E3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aporte de contrapartida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328EF546" w14:textId="7881B7A7" w:rsidR="00792397" w:rsidRPr="00A84865" w:rsidRDefault="00792397" w:rsidP="00A848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8486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17,54%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(reembolsável)</w:t>
            </w:r>
          </w:p>
          <w:p w14:paraId="359A2FC8" w14:textId="64B7114A" w:rsidR="00792397" w:rsidRPr="00A1203D" w:rsidRDefault="00792397" w:rsidP="00A848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8486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14,79%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(não reembolsável)</w:t>
            </w:r>
          </w:p>
        </w:tc>
      </w:tr>
      <w:tr w:rsidR="00792397" w:rsidRPr="00A1203D" w14:paraId="0DC60D1C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D0177D1" w14:textId="77777777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 w:val="restart"/>
            <w:vAlign w:val="center"/>
          </w:tcPr>
          <w:p w14:paraId="3C5E8C61" w14:textId="1BFA5593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Promover a reindustrialização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nacional e o desenvolvimento de inovações</w:t>
            </w:r>
          </w:p>
        </w:tc>
        <w:tc>
          <w:tcPr>
            <w:tcW w:w="2901" w:type="dxa"/>
            <w:vAlign w:val="center"/>
          </w:tcPr>
          <w:p w14:paraId="123C3E08" w14:textId="77B11473" w:rsidR="00792397" w:rsidRPr="00A1203D" w:rsidRDefault="00792397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Taxa de contratação de micro, pequenas e médias empresas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C2475C0" w14:textId="2BEEAD80" w:rsidR="00792397" w:rsidRPr="00A1203D" w:rsidRDefault="00792397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2</w:t>
            </w: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%</w:t>
            </w:r>
          </w:p>
        </w:tc>
      </w:tr>
      <w:tr w:rsidR="00792397" w:rsidRPr="00A1203D" w14:paraId="377CE0EE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12F66F53" w14:textId="77777777" w:rsidR="00792397" w:rsidRPr="00A1203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1319810C" w14:textId="77777777" w:rsidR="00792397" w:rsidRPr="00DB526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54785E2F" w14:textId="1854A6CC" w:rsidR="00792397" w:rsidRPr="00A1203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Contratação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</w:t>
            </w: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rojetos nos temas Estratégicos no crédito direto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8C20D17" w14:textId="56CD0449" w:rsidR="00792397" w:rsidRPr="00A1203D" w:rsidRDefault="00792397" w:rsidP="00DB526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60%</w:t>
            </w:r>
          </w:p>
        </w:tc>
      </w:tr>
      <w:tr w:rsidR="00792397" w:rsidRPr="00A1203D" w14:paraId="7CF7E65C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648FFDA6" w14:textId="77777777" w:rsidR="00792397" w:rsidRPr="00A1203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0302BF3F" w14:textId="77777777" w:rsidR="00792397" w:rsidRPr="00DB526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1B6F839E" w14:textId="57127508" w:rsidR="00792397" w:rsidRPr="00A1203D" w:rsidRDefault="00792397" w:rsidP="00DB526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Contratação de projetos nos temas estratégicos no Não Reembolsável 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</w:t>
            </w: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ICTs e Subvenção Econômica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,</w:t>
            </w: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com recursos FNDCT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01912EE" w14:textId="122A4BD9" w:rsidR="00792397" w:rsidRPr="00A1203D" w:rsidRDefault="00792397" w:rsidP="00DB526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DB526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60%</w:t>
            </w:r>
          </w:p>
        </w:tc>
      </w:tr>
      <w:tr w:rsidR="00386A8C" w:rsidRPr="00A1203D" w14:paraId="08CAFFDA" w14:textId="77777777" w:rsidTr="00195DF9">
        <w:trPr>
          <w:trHeight w:val="567"/>
        </w:trPr>
        <w:tc>
          <w:tcPr>
            <w:tcW w:w="1415" w:type="dxa"/>
            <w:vMerge w:val="restart"/>
            <w:vAlign w:val="center"/>
          </w:tcPr>
          <w:p w14:paraId="7987AADD" w14:textId="2AB438C5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Processos internos</w:t>
            </w:r>
          </w:p>
        </w:tc>
        <w:tc>
          <w:tcPr>
            <w:tcW w:w="3052" w:type="dxa"/>
            <w:vMerge w:val="restart"/>
            <w:vAlign w:val="center"/>
          </w:tcPr>
          <w:p w14:paraId="074D9069" w14:textId="18AE8503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Aperfeiçoar instrumentos e mecanismos de fomento a CTI</w:t>
            </w:r>
          </w:p>
        </w:tc>
        <w:tc>
          <w:tcPr>
            <w:tcW w:w="2901" w:type="dxa"/>
            <w:vAlign w:val="center"/>
          </w:tcPr>
          <w:p w14:paraId="398AD9C3" w14:textId="20ADAB70" w:rsidR="00386A8C" w:rsidRPr="00A1203D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Taxa de ações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lançadas em parceria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1F514C3E" w14:textId="717E8468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40%</w:t>
            </w:r>
          </w:p>
        </w:tc>
      </w:tr>
      <w:tr w:rsidR="00386A8C" w:rsidRPr="00A1203D" w14:paraId="4DA33B4F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EE1DB92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1D84D8CA" w14:textId="64B2EAAD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6EC60A96" w14:textId="6FD49F34" w:rsidR="00386A8C" w:rsidRPr="00A1203D" w:rsidRDefault="00361E76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Ações de fomento de CT&amp;I</w:t>
            </w:r>
            <w:r w:rsidR="00386A8C"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com lógica de intervenção incorporad</w:t>
            </w: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A99CBF6" w14:textId="4955A73A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2 chamadas ou produtos</w:t>
            </w:r>
          </w:p>
        </w:tc>
      </w:tr>
      <w:tr w:rsidR="00386A8C" w:rsidRPr="00A1203D" w14:paraId="1F4E7AC9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A2A0F54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 w:val="restart"/>
            <w:vAlign w:val="center"/>
          </w:tcPr>
          <w:p w14:paraId="1692E090" w14:textId="5AF4C18F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Aprimorar a eficiência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organizacional com foco na sociedade</w:t>
            </w:r>
          </w:p>
        </w:tc>
        <w:tc>
          <w:tcPr>
            <w:tcW w:w="2901" w:type="dxa"/>
            <w:vAlign w:val="center"/>
          </w:tcPr>
          <w:p w14:paraId="73A16DFA" w14:textId="43F53842" w:rsidR="00386A8C" w:rsidRPr="00A1203D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Contratações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rojetos per 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apita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0690F8CC" w14:textId="4DD54F50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1,36 operações</w:t>
            </w:r>
          </w:p>
        </w:tc>
      </w:tr>
      <w:tr w:rsidR="00386A8C" w:rsidRPr="00A1203D" w14:paraId="2DC2374F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24B498DA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9B4B5B2" w14:textId="7A9AEE4A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0C92759" w14:textId="281EEE3D" w:rsidR="00386A8C" w:rsidRPr="00A1203D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Tempo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ontratação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rojetos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</w:t>
            </w: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rédito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63100E38" w14:textId="4733361A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</w:t>
            </w:r>
            <w:r w:rsidR="00361E76"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</w:t>
            </w:r>
            <w:r w:rsidRPr="00361E76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0 dias</w:t>
            </w:r>
          </w:p>
        </w:tc>
      </w:tr>
      <w:tr w:rsidR="00386A8C" w:rsidRPr="00A1203D" w14:paraId="146C9273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465981FB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3AB4C818" w14:textId="451F506C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0ED08ADF" w14:textId="33406DAB" w:rsidR="00386A8C" w:rsidRPr="00A1203D" w:rsidRDefault="00386A8C" w:rsidP="00731C8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731C81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Produtividade per capita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6309CCF6" w14:textId="6CC626EF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R$ 1.693,20</w:t>
            </w:r>
          </w:p>
        </w:tc>
      </w:tr>
      <w:tr w:rsidR="00386A8C" w:rsidRPr="00A1203D" w14:paraId="469E83B6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0AE36C98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297847EC" w14:textId="79710D16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43AF595" w14:textId="57993DC8" w:rsidR="00386A8C" w:rsidRPr="00A1203D" w:rsidRDefault="00386A8C" w:rsidP="00A3381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Taxa de </w:t>
            </w:r>
            <w:r w:rsidR="00A3381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e</w:t>
            </w: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ncerramento de </w:t>
            </w:r>
            <w:r w:rsidR="00A33817"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instrumentos contratuais não reembolsáveis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790687EE" w14:textId="27A30996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80%</w:t>
            </w:r>
          </w:p>
        </w:tc>
      </w:tr>
      <w:tr w:rsidR="00386A8C" w:rsidRPr="00A1203D" w14:paraId="21DA396E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443E87A5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7846F799" w14:textId="51C9C2AF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4A2FB1C9" w14:textId="661F058F" w:rsidR="00386A8C" w:rsidRPr="00A1203D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Tempo médio de processamento não reembolsável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74689864" w14:textId="30A3B398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150 dias</w:t>
            </w:r>
          </w:p>
        </w:tc>
      </w:tr>
      <w:tr w:rsidR="00386A8C" w:rsidRPr="00A1203D" w14:paraId="56290660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0240FD86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68062986" w14:textId="72764112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4BD9EB54" w14:textId="77574310" w:rsidR="00386A8C" w:rsidRPr="00A1203D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Fluxo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contínuo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de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subvenção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43A30472" w14:textId="4554E858" w:rsidR="00386A8C" w:rsidRPr="00A1203D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170 dias</w:t>
            </w:r>
          </w:p>
        </w:tc>
      </w:tr>
      <w:tr w:rsidR="00386A8C" w:rsidRPr="00A1203D" w14:paraId="5BB26F76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246129CB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3E8D1874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45EFED76" w14:textId="276FBF62" w:rsidR="00386A8C" w:rsidRPr="00482059" w:rsidRDefault="00386A8C" w:rsidP="0048205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Taxa de execução das ações de TI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075A11C" w14:textId="3655F85B" w:rsidR="00386A8C" w:rsidRPr="00482059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90%</w:t>
            </w:r>
          </w:p>
        </w:tc>
      </w:tr>
      <w:tr w:rsidR="00386A8C" w:rsidRPr="00A1203D" w14:paraId="023EA52E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115E1AF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4F7FE4DE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787C00DF" w14:textId="6BA2614D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Taxa de execução do portfólio de iniciativas estratégicas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483A5E40" w14:textId="11612A90" w:rsidR="00386A8C" w:rsidRPr="00482059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90%</w:t>
            </w:r>
          </w:p>
        </w:tc>
      </w:tr>
      <w:tr w:rsidR="00386A8C" w:rsidRPr="00A1203D" w14:paraId="16539E9C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A71B803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7AD2EAB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9E43F52" w14:textId="52C205A6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maturidade de gestão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345E0787" w14:textId="38620C40" w:rsidR="0027208E" w:rsidRPr="00482059" w:rsidRDefault="00791229" w:rsidP="0027208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</w:t>
            </w:r>
            <w:r w:rsidR="00386A8C"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ser definida após 1ª apuração</w:t>
            </w:r>
          </w:p>
        </w:tc>
      </w:tr>
      <w:tr w:rsidR="00386A8C" w:rsidRPr="00A1203D" w14:paraId="3CE544DA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1055FB2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3634EC95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764DD75" w14:textId="4C0A1180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Maturidade Digital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6390965C" w14:textId="67EA29A5" w:rsidR="00386A8C" w:rsidRPr="00482059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2,6</w:t>
            </w:r>
          </w:p>
        </w:tc>
      </w:tr>
      <w:tr w:rsidR="00386A8C" w:rsidRPr="00A1203D" w14:paraId="49B4C036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6311897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4894128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30956F61" w14:textId="7DBEE0EF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Índice de 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</w:t>
            </w: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umprimento de 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</w:t>
            </w: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niciativas que envolvem 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sustentabilidade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6FDE9987" w14:textId="2635F05B" w:rsidR="00386A8C" w:rsidRPr="00482059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90%</w:t>
            </w:r>
          </w:p>
        </w:tc>
      </w:tr>
      <w:tr w:rsidR="00386A8C" w:rsidRPr="00A1203D" w14:paraId="4EA2637F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6DA5ECB8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11773041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482E630" w14:textId="41CF2200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Índice de </w:t>
            </w:r>
            <w:r w:rsidR="00791229"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satisfação dos clientes com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="00791229"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os</w:t>
            </w:r>
            <w:r w:rsidR="0079122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="00791229"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serviços da </w:t>
            </w:r>
            <w:r w:rsidRPr="00482059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ALOG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*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4CC5783C" w14:textId="28DB05F2" w:rsidR="00386A8C" w:rsidRPr="00482059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70% das respostas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"bom" e "ótimo"</w:t>
            </w:r>
          </w:p>
        </w:tc>
      </w:tr>
      <w:tr w:rsidR="00386A8C" w:rsidRPr="00A1203D" w14:paraId="12E25621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1A29AD5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 w:val="restart"/>
            <w:vAlign w:val="center"/>
          </w:tcPr>
          <w:p w14:paraId="461AA7DC" w14:textId="0A35FF78" w:rsidR="00386A8C" w:rsidRPr="00A1203D" w:rsidRDefault="00386A8C" w:rsidP="00386A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Fortalecer a imagem da Finep e da CT&amp;I perante a sociedade</w:t>
            </w:r>
          </w:p>
        </w:tc>
        <w:tc>
          <w:tcPr>
            <w:tcW w:w="2901" w:type="dxa"/>
            <w:vAlign w:val="center"/>
          </w:tcPr>
          <w:p w14:paraId="07A66B88" w14:textId="737DE1D9" w:rsidR="00386A8C" w:rsidRPr="00482059" w:rsidRDefault="00386A8C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Conformidade Sest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(IC-SEST)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1677F442" w14:textId="333AD58D" w:rsidR="00386A8C" w:rsidRPr="00386A8C" w:rsidRDefault="00791229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900</w:t>
            </w:r>
          </w:p>
        </w:tc>
      </w:tr>
      <w:tr w:rsidR="00386A8C" w:rsidRPr="00A1203D" w14:paraId="17276CEF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07833A2B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05B2D6E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54EABC70" w14:textId="32893373" w:rsidR="00386A8C" w:rsidRPr="00482059" w:rsidRDefault="00386A8C" w:rsidP="00386A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Engajamento em mídias sociais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4C4BE89B" w14:textId="072D8C98" w:rsidR="00386A8C" w:rsidRPr="00386A8C" w:rsidRDefault="00386A8C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1.195.017</w:t>
            </w:r>
          </w:p>
        </w:tc>
      </w:tr>
      <w:tr w:rsidR="00386A8C" w:rsidRPr="00A1203D" w14:paraId="4381CDB9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5C6B73A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43700A8E" w14:textId="77777777" w:rsidR="00386A8C" w:rsidRPr="00A1203D" w:rsidRDefault="00386A8C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3C51C54C" w14:textId="55BAAF80" w:rsidR="00386A8C" w:rsidRPr="00482059" w:rsidRDefault="00386A8C" w:rsidP="00386A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Indicador de </w:t>
            </w:r>
            <w:r w:rsidR="00791229"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exposição em mídia online</w:t>
            </w:r>
          </w:p>
        </w:tc>
        <w:tc>
          <w:tcPr>
            <w:tcW w:w="2552" w:type="dxa"/>
            <w:shd w:val="clear" w:color="FFFFFF" w:fill="FFFFFF"/>
            <w:vAlign w:val="center"/>
          </w:tcPr>
          <w:p w14:paraId="280ADB0A" w14:textId="6BDB3CF4" w:rsidR="00386A8C" w:rsidRPr="00386A8C" w:rsidRDefault="00791229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</w:t>
            </w:r>
            <w:r w:rsidR="00386A8C" w:rsidRPr="00386A8C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definir</w:t>
            </w:r>
          </w:p>
        </w:tc>
      </w:tr>
      <w:tr w:rsidR="003F20FB" w:rsidRPr="00A1203D" w14:paraId="1DE996F1" w14:textId="77777777" w:rsidTr="00195DF9">
        <w:trPr>
          <w:trHeight w:val="567"/>
        </w:trPr>
        <w:tc>
          <w:tcPr>
            <w:tcW w:w="1415" w:type="dxa"/>
            <w:vMerge w:val="restart"/>
            <w:vAlign w:val="center"/>
          </w:tcPr>
          <w:p w14:paraId="171BA401" w14:textId="1488988D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Recursos e competências</w:t>
            </w:r>
          </w:p>
        </w:tc>
        <w:tc>
          <w:tcPr>
            <w:tcW w:w="3052" w:type="dxa"/>
            <w:vMerge w:val="restart"/>
            <w:vAlign w:val="center"/>
          </w:tcPr>
          <w:p w14:paraId="5434CAE5" w14:textId="6113B0D3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Implantar práticas de gestão de pessoas baseadas na diversidade e equidade</w:t>
            </w:r>
          </w:p>
        </w:tc>
        <w:tc>
          <w:tcPr>
            <w:tcW w:w="2901" w:type="dxa"/>
            <w:vAlign w:val="center"/>
          </w:tcPr>
          <w:p w14:paraId="66CC28DE" w14:textId="7EA4CEC6" w:rsidR="003F20FB" w:rsidRPr="00A1203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abrangência de ações de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letramento em diversidade, equidade 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inclusão</w:t>
            </w:r>
          </w:p>
        </w:tc>
        <w:tc>
          <w:tcPr>
            <w:tcW w:w="2552" w:type="dxa"/>
            <w:vAlign w:val="center"/>
          </w:tcPr>
          <w:p w14:paraId="56C969E3" w14:textId="1C53BD1F" w:rsidR="003F20FB" w:rsidRPr="00A1203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100%</w:t>
            </w:r>
          </w:p>
        </w:tc>
      </w:tr>
      <w:tr w:rsidR="003F20FB" w:rsidRPr="00A1203D" w14:paraId="10956D06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52B615E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C43244B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16D44696" w14:textId="514C43AD" w:rsidR="003F20FB" w:rsidRPr="00A1203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percepção sobre ações de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letramento</w:t>
            </w:r>
          </w:p>
        </w:tc>
        <w:tc>
          <w:tcPr>
            <w:tcW w:w="2552" w:type="dxa"/>
            <w:vAlign w:val="center"/>
          </w:tcPr>
          <w:p w14:paraId="68A4AD33" w14:textId="48F75DBA" w:rsidR="003F20FB" w:rsidRPr="00A1203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80%</w:t>
            </w:r>
          </w:p>
        </w:tc>
      </w:tr>
      <w:tr w:rsidR="003F20FB" w:rsidRPr="00A1203D" w14:paraId="2395A2F8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F1C66FD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FA7DD10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45D890E5" w14:textId="7F96F6BF" w:rsidR="003F20FB" w:rsidRPr="00A1203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diversidade de gênero em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posições de liderança</w:t>
            </w:r>
          </w:p>
        </w:tc>
        <w:tc>
          <w:tcPr>
            <w:tcW w:w="2552" w:type="dxa"/>
            <w:vAlign w:val="center"/>
          </w:tcPr>
          <w:p w14:paraId="203B721E" w14:textId="77DB706E" w:rsidR="003F20FB" w:rsidRPr="00A1203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40%</w:t>
            </w:r>
          </w:p>
        </w:tc>
      </w:tr>
      <w:tr w:rsidR="003F20FB" w:rsidRPr="00A1203D" w14:paraId="661FD550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618525C1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4C064B42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2881FD44" w14:textId="6C536B66" w:rsidR="003F20FB" w:rsidRPr="004418A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diversidade racial em posições de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liderança</w:t>
            </w:r>
          </w:p>
        </w:tc>
        <w:tc>
          <w:tcPr>
            <w:tcW w:w="2552" w:type="dxa"/>
            <w:vAlign w:val="center"/>
          </w:tcPr>
          <w:p w14:paraId="1DDDEED3" w14:textId="011E1DAC" w:rsidR="003F20FB" w:rsidRPr="004418A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11,5%</w:t>
            </w:r>
          </w:p>
        </w:tc>
      </w:tr>
      <w:tr w:rsidR="003F20FB" w:rsidRPr="00A1203D" w14:paraId="17D2F89E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BC2E0FA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E3DCEDB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043580F4" w14:textId="79AEE3F1" w:rsidR="003F20FB" w:rsidRPr="004418A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diversidade de gênero na composição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de comitês, comissões e grupos de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t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rabalho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13A0B881" w14:textId="057B2CBC" w:rsidR="003F20FB" w:rsidRPr="004418A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40%</w:t>
            </w:r>
          </w:p>
        </w:tc>
      </w:tr>
      <w:tr w:rsidR="003F20FB" w:rsidRPr="00A1203D" w14:paraId="19BE9B07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BE4373B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7D27D2C8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7BCE48B3" w14:textId="30443C89" w:rsidR="003F20FB" w:rsidRPr="004418A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diversidade racial na composição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de comitês, comissões e grupos de trabalho</w:t>
            </w:r>
          </w:p>
        </w:tc>
        <w:tc>
          <w:tcPr>
            <w:tcW w:w="2552" w:type="dxa"/>
            <w:vAlign w:val="center"/>
          </w:tcPr>
          <w:p w14:paraId="33C7F995" w14:textId="69B2B200" w:rsidR="003F20FB" w:rsidRPr="004418A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15%</w:t>
            </w:r>
          </w:p>
        </w:tc>
      </w:tr>
      <w:tr w:rsidR="003F20FB" w:rsidRPr="00A1203D" w14:paraId="78E2E743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4BF4083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681AE217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6A6079F9" w14:textId="3078E4D6" w:rsidR="003F20FB" w:rsidRPr="004418A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PCDs na composição de comitês,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comissões e grupos de trabalho</w:t>
            </w:r>
          </w:p>
        </w:tc>
        <w:tc>
          <w:tcPr>
            <w:tcW w:w="2552" w:type="dxa"/>
            <w:vAlign w:val="center"/>
          </w:tcPr>
          <w:p w14:paraId="12343BB2" w14:textId="3E45B8BB" w:rsidR="003F20FB" w:rsidRPr="004418A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10%</w:t>
            </w:r>
          </w:p>
        </w:tc>
      </w:tr>
      <w:tr w:rsidR="003F20FB" w:rsidRPr="00A1203D" w14:paraId="467EE1DB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568C5148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6017145E" w14:textId="77777777" w:rsidR="003F20FB" w:rsidRPr="00A1203D" w:rsidRDefault="003F20FB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7075327C" w14:textId="20C74043" w:rsidR="003F20FB" w:rsidRPr="004418AD" w:rsidRDefault="003F20FB" w:rsidP="003F20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Indicador de diversidade etária na composição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 </w:t>
            </w:r>
            <w:r w:rsidRPr="003F20FB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de comitês, comissões e grupos de trabalho</w:t>
            </w:r>
          </w:p>
        </w:tc>
        <w:tc>
          <w:tcPr>
            <w:tcW w:w="2552" w:type="dxa"/>
            <w:vAlign w:val="center"/>
          </w:tcPr>
          <w:p w14:paraId="5B1EC52B" w14:textId="0A32F57A" w:rsidR="003F20FB" w:rsidRPr="004418AD" w:rsidRDefault="003F20FB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10%</w:t>
            </w:r>
          </w:p>
        </w:tc>
      </w:tr>
      <w:tr w:rsidR="004418AD" w:rsidRPr="00A1203D" w14:paraId="213674B4" w14:textId="77777777" w:rsidTr="00195DF9">
        <w:trPr>
          <w:trHeight w:val="567"/>
        </w:trPr>
        <w:tc>
          <w:tcPr>
            <w:tcW w:w="1415" w:type="dxa"/>
            <w:vMerge w:val="restart"/>
            <w:vAlign w:val="center"/>
          </w:tcPr>
          <w:p w14:paraId="57110B21" w14:textId="5C5E1E5F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Financeira</w:t>
            </w:r>
          </w:p>
        </w:tc>
        <w:tc>
          <w:tcPr>
            <w:tcW w:w="3052" w:type="dxa"/>
            <w:vMerge w:val="restart"/>
            <w:vAlign w:val="center"/>
          </w:tcPr>
          <w:p w14:paraId="37CB9164" w14:textId="4398E214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Assegurar a sustentabilidade do negócio</w:t>
            </w:r>
          </w:p>
        </w:tc>
        <w:tc>
          <w:tcPr>
            <w:tcW w:w="2901" w:type="dxa"/>
            <w:vAlign w:val="center"/>
            <w:hideMark/>
          </w:tcPr>
          <w:p w14:paraId="3D70A8F5" w14:textId="1A0B1E55" w:rsidR="004418AD" w:rsidRPr="00A1203D" w:rsidRDefault="004418AD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Cobertura de despesas administrativas</w:t>
            </w:r>
          </w:p>
        </w:tc>
        <w:tc>
          <w:tcPr>
            <w:tcW w:w="2552" w:type="dxa"/>
            <w:shd w:val="clear" w:color="FFFFFF" w:fill="FFFFFF"/>
            <w:vAlign w:val="center"/>
            <w:hideMark/>
          </w:tcPr>
          <w:p w14:paraId="005C959C" w14:textId="70A780F0" w:rsidR="004418AD" w:rsidRPr="00A1203D" w:rsidRDefault="004418AD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2</w:t>
            </w:r>
            <w:r w:rsidR="00A419D7"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98,05</w:t>
            </w: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%</w:t>
            </w:r>
          </w:p>
        </w:tc>
      </w:tr>
      <w:tr w:rsidR="004418AD" w:rsidRPr="00A1203D" w14:paraId="1639DA42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3DC9DBB8" w14:textId="77777777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5F73C7AB" w14:textId="43E4DB9C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  <w:hideMark/>
          </w:tcPr>
          <w:p w14:paraId="4127DAC2" w14:textId="572C642C" w:rsidR="004418AD" w:rsidRPr="00A1203D" w:rsidRDefault="004418AD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Índice de qualidade da carteira de crédito</w:t>
            </w:r>
          </w:p>
        </w:tc>
        <w:tc>
          <w:tcPr>
            <w:tcW w:w="2552" w:type="dxa"/>
            <w:shd w:val="clear" w:color="FFFFFF" w:fill="FFFFFF"/>
            <w:vAlign w:val="center"/>
            <w:hideMark/>
          </w:tcPr>
          <w:p w14:paraId="79751AB3" w14:textId="30A618A1" w:rsidR="004418AD" w:rsidRPr="00A1203D" w:rsidRDefault="004418AD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70</w:t>
            </w: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%</w:t>
            </w:r>
          </w:p>
        </w:tc>
      </w:tr>
      <w:tr w:rsidR="004418AD" w:rsidRPr="00A1203D" w14:paraId="6D5E4B78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679CFF29" w14:textId="77777777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15F080A4" w14:textId="03FEF8D7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  <w:hideMark/>
          </w:tcPr>
          <w:p w14:paraId="4476C22F" w14:textId="20FEF6F4" w:rsidR="004418AD" w:rsidRPr="00A1203D" w:rsidRDefault="004418AD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1203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Margem do Faturamento Operacional Líquido</w:t>
            </w:r>
          </w:p>
        </w:tc>
        <w:tc>
          <w:tcPr>
            <w:tcW w:w="2552" w:type="dxa"/>
            <w:noWrap/>
            <w:vAlign w:val="center"/>
            <w:hideMark/>
          </w:tcPr>
          <w:p w14:paraId="34936733" w14:textId="74F9D887" w:rsidR="004418AD" w:rsidRPr="00A1203D" w:rsidRDefault="00A419D7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89,75</w:t>
            </w:r>
            <w:r w:rsidR="004418AD" w:rsidRPr="00A419D7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%</w:t>
            </w:r>
          </w:p>
        </w:tc>
      </w:tr>
      <w:tr w:rsidR="004418AD" w:rsidRPr="00A1203D" w14:paraId="3FB43A32" w14:textId="77777777" w:rsidTr="00195DF9">
        <w:trPr>
          <w:trHeight w:val="567"/>
        </w:trPr>
        <w:tc>
          <w:tcPr>
            <w:tcW w:w="1415" w:type="dxa"/>
            <w:vMerge/>
            <w:vAlign w:val="center"/>
          </w:tcPr>
          <w:p w14:paraId="72ED06E0" w14:textId="77777777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3052" w:type="dxa"/>
            <w:vMerge/>
            <w:vAlign w:val="center"/>
          </w:tcPr>
          <w:p w14:paraId="0A2DB29E" w14:textId="77777777" w:rsidR="004418AD" w:rsidRPr="00A1203D" w:rsidRDefault="004418AD" w:rsidP="009350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</w:p>
        </w:tc>
        <w:tc>
          <w:tcPr>
            <w:tcW w:w="2901" w:type="dxa"/>
            <w:vAlign w:val="center"/>
          </w:tcPr>
          <w:p w14:paraId="162A18F7" w14:textId="0F38EE41" w:rsidR="004418AD" w:rsidRPr="00A1203D" w:rsidRDefault="004418AD" w:rsidP="00D57F1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 xml:space="preserve">Índice de </w:t>
            </w:r>
            <w:r w:rsidR="00195DF9"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concentração de agentes financeiros</w:t>
            </w:r>
          </w:p>
        </w:tc>
        <w:tc>
          <w:tcPr>
            <w:tcW w:w="2552" w:type="dxa"/>
            <w:noWrap/>
            <w:vAlign w:val="center"/>
          </w:tcPr>
          <w:p w14:paraId="680C6CBB" w14:textId="2055172F" w:rsidR="004418AD" w:rsidRPr="00A1203D" w:rsidRDefault="004418AD" w:rsidP="0093501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</w:pPr>
            <w:r w:rsidRPr="004418AD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pt-BR"/>
              </w:rPr>
              <w:t>&lt;0,25</w:t>
            </w:r>
          </w:p>
        </w:tc>
      </w:tr>
    </w:tbl>
    <w:p w14:paraId="786B0451" w14:textId="7131FA5C" w:rsidR="00386A8C" w:rsidRPr="00731C81" w:rsidRDefault="00386A8C" w:rsidP="00731C81">
      <w:pPr>
        <w:widowControl w:val="0"/>
        <w:suppressAutoHyphens/>
        <w:autoSpaceDN w:val="0"/>
        <w:spacing w:before="120" w:after="120" w:line="240" w:lineRule="auto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* ALOG – Área de Logística da Finep</w:t>
      </w:r>
    </w:p>
    <w:p w14:paraId="4E4F68BD" w14:textId="60D30393" w:rsidR="0093501C" w:rsidRDefault="0093501C" w:rsidP="0093501C">
      <w:pPr>
        <w:widowControl w:val="0"/>
        <w:suppressAutoHyphens/>
        <w:autoSpaceDN w:val="0"/>
        <w:spacing w:before="120" w:after="120" w:line="240" w:lineRule="auto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Fonte: </w:t>
      </w:r>
      <w:r w:rsidR="00CF2B0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Objetivos e metas – 2024 -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Cartilha da ELPPN 202</w:t>
      </w:r>
      <w:r w:rsidR="004418AD">
        <w:rPr>
          <w:rFonts w:ascii="Tahoma" w:eastAsia="SimSun" w:hAnsi="Tahoma" w:cs="Tahoma"/>
          <w:kern w:val="3"/>
          <w:sz w:val="19"/>
          <w:szCs w:val="19"/>
          <w:lang w:bidi="hi-IN"/>
        </w:rPr>
        <w:t>4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</w:t>
      </w:r>
      <w:hyperlink r:id="rId25" w:history="1">
        <w:r w:rsidR="00CF2B01"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http://www.finep.gov.br/transparencia-finep/objetivos-metas-e-resultados</w:t>
        </w:r>
      </w:hyperlink>
      <w:r>
        <w:rPr>
          <w:rFonts w:ascii="Tahoma" w:eastAsia="SimSun" w:hAnsi="Tahoma" w:cs="Tahoma"/>
          <w:kern w:val="3"/>
          <w:sz w:val="19"/>
          <w:szCs w:val="19"/>
          <w:lang w:bidi="hi-IN"/>
        </w:rPr>
        <w:t>)</w:t>
      </w:r>
    </w:p>
    <w:p w14:paraId="17ABE21E" w14:textId="380E4961" w:rsidR="00D52945" w:rsidRDefault="00D52945" w:rsidP="00352C83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6E733480" w14:textId="2885FB27" w:rsidR="000D5A1C" w:rsidRPr="007752C3" w:rsidRDefault="00B40A14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13" w:name="_Toc49448285"/>
      <w:bookmarkStart w:id="14" w:name="_Toc71730100"/>
      <w:bookmarkStart w:id="15" w:name="_Toc166575247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Recursos para o c</w:t>
      </w:r>
      <w:r w:rsidR="00352C83"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 xml:space="preserve">usteio </w:t>
      </w:r>
      <w:r w:rsidR="00F60D12"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da</w:t>
      </w:r>
      <w:r w:rsidR="00352C83"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 xml:space="preserve"> política pública</w:t>
      </w:r>
      <w:bookmarkEnd w:id="13"/>
      <w:bookmarkEnd w:id="14"/>
      <w:bookmarkEnd w:id="15"/>
    </w:p>
    <w:p w14:paraId="10ACD365" w14:textId="77777777" w:rsidR="00657D31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657D31">
        <w:rPr>
          <w:rFonts w:ascii="Tahoma" w:hAnsi="Tahoma" w:cs="Tahoma"/>
          <w:sz w:val="19"/>
          <w:szCs w:val="19"/>
        </w:rPr>
        <w:t>As atividades desenvolvidas pela Finep têm como único foco a implementação da política pública de CT&amp;I. Para tanto, a Finep opera através de três unidades operacionais: Finep, atuando como instituição financeira, Secretaria Executiva do FNDCT e Gestora de Recursos de Terceiros. Cada unidade operacional utiliza diferentes instrumentos financeiros, conforme o Quadro 3, a seguir.</w:t>
      </w:r>
    </w:p>
    <w:p w14:paraId="7F722DB8" w14:textId="77777777" w:rsidR="00F65BD9" w:rsidRDefault="00F65BD9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</w:p>
    <w:p w14:paraId="05CE556C" w14:textId="7743F276" w:rsidR="004919F0" w:rsidRPr="00AD69B9" w:rsidRDefault="004919F0" w:rsidP="00AD69B9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i/>
          <w:sz w:val="19"/>
          <w:szCs w:val="19"/>
          <w:lang w:eastAsia="pt-BR"/>
        </w:rPr>
      </w:pPr>
      <w:r w:rsidRPr="00AD69B9">
        <w:rPr>
          <w:rFonts w:ascii="Tahoma" w:eastAsia="Times New Roman" w:hAnsi="Tahoma" w:cs="Tahoma"/>
          <w:i/>
          <w:sz w:val="19"/>
          <w:szCs w:val="19"/>
          <w:lang w:eastAsia="pt-BR"/>
        </w:rPr>
        <w:lastRenderedPageBreak/>
        <w:t xml:space="preserve">Quadro </w:t>
      </w:r>
      <w:r w:rsidR="00812DBE">
        <w:rPr>
          <w:rFonts w:ascii="Tahoma" w:eastAsia="Times New Roman" w:hAnsi="Tahoma" w:cs="Tahoma"/>
          <w:i/>
          <w:sz w:val="19"/>
          <w:szCs w:val="19"/>
          <w:lang w:eastAsia="pt-BR"/>
        </w:rPr>
        <w:t>3</w:t>
      </w:r>
      <w:r w:rsidRPr="00AD69B9">
        <w:rPr>
          <w:rFonts w:ascii="Tahoma" w:eastAsia="Times New Roman" w:hAnsi="Tahoma" w:cs="Tahoma"/>
          <w:i/>
          <w:sz w:val="19"/>
          <w:szCs w:val="19"/>
          <w:lang w:eastAsia="pt-BR"/>
        </w:rPr>
        <w:t xml:space="preserve"> – Unidades Operacionais e Instrumentos Financeiros da Finep</w:t>
      </w:r>
    </w:p>
    <w:tbl>
      <w:tblPr>
        <w:tblW w:w="9839" w:type="dxa"/>
        <w:tblBorders>
          <w:top w:val="single" w:sz="4" w:space="0" w:color="000000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8280"/>
      </w:tblGrid>
      <w:tr w:rsidR="004919F0" w:rsidRPr="00AD69B9" w14:paraId="3DD8E504" w14:textId="77777777" w:rsidTr="008D11C6">
        <w:trPr>
          <w:trHeight w:val="413"/>
          <w:tblHeader/>
        </w:trPr>
        <w:tc>
          <w:tcPr>
            <w:tcW w:w="1559" w:type="dxa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FD29F" w14:textId="77777777" w:rsidR="004919F0" w:rsidRPr="00AD69B9" w:rsidRDefault="004919F0" w:rsidP="0074601A">
            <w:pPr>
              <w:suppressAutoHyphens/>
              <w:autoSpaceDN w:val="0"/>
              <w:spacing w:before="60" w:after="60" w:line="240" w:lineRule="auto"/>
              <w:jc w:val="center"/>
              <w:rPr>
                <w:rFonts w:ascii="Tahoma" w:eastAsia="Times New Roman" w:hAnsi="Tahoma" w:cs="Tahoma"/>
                <w:color w:val="FFFFFF"/>
                <w:sz w:val="19"/>
                <w:szCs w:val="19"/>
                <w:lang w:eastAsia="pt-BR"/>
              </w:rPr>
            </w:pPr>
            <w:r w:rsidRPr="00AD69B9">
              <w:rPr>
                <w:rFonts w:ascii="Tahoma" w:eastAsia="Times New Roman" w:hAnsi="Tahoma" w:cs="Tahoma"/>
                <w:color w:val="FFFFFF"/>
                <w:sz w:val="19"/>
                <w:szCs w:val="19"/>
                <w:lang w:eastAsia="pt-BR"/>
              </w:rPr>
              <w:t>Unidade Operacional</w:t>
            </w:r>
          </w:p>
        </w:tc>
        <w:tc>
          <w:tcPr>
            <w:tcW w:w="8280" w:type="dxa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FF50E" w14:textId="77777777" w:rsidR="004919F0" w:rsidRPr="00AD69B9" w:rsidRDefault="004919F0" w:rsidP="0074601A">
            <w:pPr>
              <w:suppressAutoHyphens/>
              <w:autoSpaceDN w:val="0"/>
              <w:spacing w:before="60" w:after="60" w:line="240" w:lineRule="auto"/>
              <w:jc w:val="center"/>
              <w:rPr>
                <w:rFonts w:ascii="Tahoma" w:eastAsia="Times New Roman" w:hAnsi="Tahoma" w:cs="Tahoma"/>
                <w:color w:val="FFFFFF"/>
                <w:sz w:val="19"/>
                <w:szCs w:val="19"/>
                <w:lang w:eastAsia="pt-BR"/>
              </w:rPr>
            </w:pPr>
            <w:r w:rsidRPr="00AD69B9">
              <w:rPr>
                <w:rFonts w:ascii="Tahoma" w:eastAsia="Times New Roman" w:hAnsi="Tahoma" w:cs="Tahoma"/>
                <w:color w:val="FFFFFF"/>
                <w:sz w:val="19"/>
                <w:szCs w:val="19"/>
                <w:lang w:eastAsia="pt-BR"/>
              </w:rPr>
              <w:t>Instrumentos Financeiros</w:t>
            </w:r>
          </w:p>
        </w:tc>
      </w:tr>
      <w:tr w:rsidR="004919F0" w:rsidRPr="00AD69B9" w14:paraId="6DB063D4" w14:textId="77777777" w:rsidTr="008D11C6">
        <w:trPr>
          <w:trHeight w:val="1091"/>
        </w:trPr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69681" w14:textId="77777777" w:rsidR="004919F0" w:rsidRPr="00AD69B9" w:rsidRDefault="004919F0" w:rsidP="0074601A">
            <w:pPr>
              <w:suppressAutoHyphens/>
              <w:autoSpaceDN w:val="0"/>
              <w:spacing w:before="60" w:after="6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D69B9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Finep</w:t>
            </w:r>
          </w:p>
        </w:tc>
        <w:tc>
          <w:tcPr>
            <w:tcW w:w="82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A7D34" w14:textId="13425E03" w:rsidR="00822EC3" w:rsidRPr="00822EC3" w:rsidRDefault="00822EC3" w:rsidP="00822EC3">
            <w:pPr>
              <w:suppressAutoHyphens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Unidade responsável pela operacionalização do Instrumento Reembolsável (Crédito) e de Investimento, este último quando executado com Recursos Próprios</w:t>
            </w:r>
            <w:r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.</w:t>
            </w:r>
          </w:p>
          <w:p w14:paraId="21FFCEE1" w14:textId="0351E725" w:rsidR="004919F0" w:rsidRPr="00AD69B9" w:rsidRDefault="00822EC3" w:rsidP="00822EC3">
            <w:pPr>
              <w:suppressAutoHyphens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Pela operacionalização dos instrumentos referenciados, a Finep recebe receita de juros decorrente da atividade de intermediação financeira (ou concessão de crédito), e participação no capital de sucesso das operações que tenham sido objeto de investimento.</w:t>
            </w:r>
          </w:p>
        </w:tc>
      </w:tr>
      <w:tr w:rsidR="004919F0" w:rsidRPr="00AD69B9" w14:paraId="781B5A13" w14:textId="77777777" w:rsidTr="00822EC3">
        <w:trPr>
          <w:trHeight w:val="841"/>
        </w:trPr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2B0E8" w14:textId="77777777" w:rsidR="004919F0" w:rsidRPr="00AD69B9" w:rsidRDefault="004919F0" w:rsidP="0074601A">
            <w:pPr>
              <w:suppressAutoHyphens/>
              <w:autoSpaceDN w:val="0"/>
              <w:spacing w:before="60" w:after="6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D69B9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Secretaria Executiva do FNDCT</w:t>
            </w:r>
          </w:p>
        </w:tc>
        <w:tc>
          <w:tcPr>
            <w:tcW w:w="82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F1D29" w14:textId="77777777" w:rsidR="00822EC3" w:rsidRPr="00822EC3" w:rsidRDefault="00822EC3" w:rsidP="00822EC3">
            <w:pPr>
              <w:suppressAutoHyphens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Através da unidade orçamentária 24901 do SIAFI, opera o Instrumento Não Reembolsável (Convênio, Subvenção e Termos de Execução Descentralizada) e o Investimento, todos eles apoiados com Recursos Não Reembolsáveis do FNDCT (aqui está incluída a ação de Participação no Capital do FNDCT).</w:t>
            </w:r>
          </w:p>
          <w:p w14:paraId="759F3759" w14:textId="3CB22620" w:rsidR="004919F0" w:rsidRPr="00AD69B9" w:rsidRDefault="00822EC3" w:rsidP="00822EC3">
            <w:pPr>
              <w:suppressAutoHyphens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No âmbito da operacionalização das atividades da Secretaria Executiva do FNDCT, a Finep recebe taxa de administração e ressarcimento de suas despesas operacionais conforme Lei do FNDCT 11.540/2007.</w:t>
            </w:r>
          </w:p>
        </w:tc>
      </w:tr>
      <w:tr w:rsidR="004919F0" w:rsidRPr="00AD69B9" w14:paraId="1328659E" w14:textId="77777777" w:rsidTr="008D11C6">
        <w:trPr>
          <w:trHeight w:val="2971"/>
        </w:trPr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B77C6" w14:textId="77777777" w:rsidR="004919F0" w:rsidRPr="00AD69B9" w:rsidRDefault="004919F0" w:rsidP="0074601A">
            <w:pPr>
              <w:suppressAutoHyphens/>
              <w:autoSpaceDN w:val="0"/>
              <w:spacing w:before="60" w:after="60" w:line="240" w:lineRule="auto"/>
              <w:jc w:val="center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AD69B9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Gestora de Recursos de Terceiros</w:t>
            </w:r>
          </w:p>
        </w:tc>
        <w:tc>
          <w:tcPr>
            <w:tcW w:w="82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D9686" w14:textId="77777777" w:rsidR="00822EC3" w:rsidRPr="00822EC3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Nesta Unidade Operacional estão contempladas:</w:t>
            </w:r>
          </w:p>
          <w:p w14:paraId="7C94518B" w14:textId="44EC253C" w:rsidR="00822EC3" w:rsidRPr="00822EC3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(1) as descentralizações de recursos para o FNDCT, voltadas para a operacionalização de recursos 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como os 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do Fundo Nacional de Saúde (FNS)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 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e outras unidades orçamentárias que não a 24901 do FNDCT;</w:t>
            </w:r>
          </w:p>
          <w:p w14:paraId="61092A8B" w14:textId="3C53920E" w:rsidR="00822EC3" w:rsidRPr="00822EC3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(2) o instrumento não reembolsável apoiado pela Finep como agente financeiro do </w:t>
            </w:r>
            <w:r w:rsidR="001C6B55" w:rsidRP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Fundo para o Desenvolvimento Tecnológico das Telecomunicações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 (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Funttel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)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;</w:t>
            </w:r>
          </w:p>
          <w:p w14:paraId="37B209D0" w14:textId="2F2916CD" w:rsidR="00822EC3" w:rsidRPr="00822EC3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(3) o </w:t>
            </w:r>
            <w:r w:rsidR="001C6B55" w:rsidRP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 xml:space="preserve">Programa de Formação de Recursos Humanos da ANP 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(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PRH-ANP</w:t>
            </w:r>
            <w:r w:rsidR="001C6B55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)</w:t>
            </w: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, operado pela Finep como gestora dos recursos;</w:t>
            </w:r>
          </w:p>
          <w:p w14:paraId="442F38F1" w14:textId="77777777" w:rsidR="00822EC3" w:rsidRPr="00822EC3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(4) o Programa Finep 2030 operado pela Finep como uma das coordenadoras do Programa Rota 2030 - Mobilidade e Logística do Governo Federal.</w:t>
            </w:r>
          </w:p>
          <w:p w14:paraId="084D28F1" w14:textId="62A86139" w:rsidR="004919F0" w:rsidRPr="00AD69B9" w:rsidRDefault="00822EC3" w:rsidP="00822EC3">
            <w:pPr>
              <w:suppressAutoHyphens/>
              <w:autoSpaceDE w:val="0"/>
              <w:autoSpaceDN w:val="0"/>
              <w:spacing w:before="60" w:after="60" w:line="240" w:lineRule="auto"/>
              <w:jc w:val="both"/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</w:pPr>
            <w:r w:rsidRPr="00822EC3">
              <w:rPr>
                <w:rFonts w:ascii="Tahoma" w:eastAsia="Times New Roman" w:hAnsi="Tahoma" w:cs="Tahoma"/>
                <w:sz w:val="19"/>
                <w:szCs w:val="19"/>
                <w:lang w:eastAsia="pt-BR"/>
              </w:rPr>
              <w:t>Para a operacionalização dos referidos instrumentos, a Finep recebe (regra geral) taxa de administração específica.</w:t>
            </w:r>
          </w:p>
        </w:tc>
      </w:tr>
    </w:tbl>
    <w:p w14:paraId="4B3DB5F3" w14:textId="43AA285E" w:rsidR="003000B9" w:rsidRPr="004A22F9" w:rsidRDefault="004919F0" w:rsidP="004A22F9">
      <w:pPr>
        <w:spacing w:before="120" w:after="120" w:line="360" w:lineRule="auto"/>
        <w:ind w:left="360"/>
        <w:rPr>
          <w:rFonts w:ascii="Tahoma" w:eastAsia="Times New Roman" w:hAnsi="Tahoma" w:cs="Tahoma"/>
          <w:sz w:val="19"/>
          <w:szCs w:val="19"/>
          <w:lang w:eastAsia="pt-BR"/>
        </w:rPr>
      </w:pPr>
      <w:r w:rsidRPr="004A22F9">
        <w:rPr>
          <w:rFonts w:ascii="Tahoma" w:eastAsia="Times New Roman" w:hAnsi="Tahoma" w:cs="Tahoma"/>
          <w:sz w:val="19"/>
          <w:szCs w:val="19"/>
          <w:lang w:eastAsia="pt-BR"/>
        </w:rPr>
        <w:t xml:space="preserve">Fonte: </w:t>
      </w:r>
      <w:r w:rsidR="003000B9" w:rsidRPr="004A22F9">
        <w:rPr>
          <w:rFonts w:ascii="Tahoma" w:eastAsia="Times New Roman" w:hAnsi="Tahoma" w:cs="Tahoma"/>
          <w:sz w:val="19"/>
          <w:szCs w:val="19"/>
          <w:lang w:eastAsia="pt-BR"/>
        </w:rPr>
        <w:t>Relatório de Gestão 202</w:t>
      </w:r>
      <w:r w:rsidR="00822EC3">
        <w:rPr>
          <w:rFonts w:ascii="Tahoma" w:eastAsia="Times New Roman" w:hAnsi="Tahoma" w:cs="Tahoma"/>
          <w:sz w:val="19"/>
          <w:szCs w:val="19"/>
          <w:lang w:eastAsia="pt-BR"/>
        </w:rPr>
        <w:t>3</w:t>
      </w:r>
      <w:r w:rsidR="003000B9" w:rsidRPr="004A22F9">
        <w:rPr>
          <w:rFonts w:ascii="Tahoma" w:eastAsia="Times New Roman" w:hAnsi="Tahoma" w:cs="Tahoma"/>
          <w:sz w:val="19"/>
          <w:szCs w:val="19"/>
          <w:lang w:eastAsia="pt-BR"/>
        </w:rPr>
        <w:t xml:space="preserve"> da Finep (</w:t>
      </w:r>
      <w:hyperlink r:id="rId26" w:history="1">
        <w:r w:rsidR="003000B9" w:rsidRPr="006A7C40">
          <w:rPr>
            <w:rStyle w:val="Hyperlink"/>
            <w:rFonts w:ascii="Tahoma" w:eastAsia="Times New Roman" w:hAnsi="Tahoma" w:cs="Tahoma"/>
            <w:sz w:val="19"/>
            <w:szCs w:val="19"/>
            <w:lang w:eastAsia="pt-BR"/>
          </w:rPr>
          <w:t>http://www.finep.gov.br/transparencia-finep/relatorios-do-fndct/relatorios-de-gestao</w:t>
        </w:r>
      </w:hyperlink>
      <w:r w:rsidR="003000B9" w:rsidRPr="004A22F9">
        <w:rPr>
          <w:rFonts w:ascii="Tahoma" w:eastAsia="Times New Roman" w:hAnsi="Tahoma" w:cs="Tahoma"/>
          <w:sz w:val="19"/>
          <w:szCs w:val="19"/>
          <w:lang w:eastAsia="pt-BR"/>
        </w:rPr>
        <w:t>)</w:t>
      </w:r>
    </w:p>
    <w:p w14:paraId="18305BF4" w14:textId="77777777" w:rsidR="00151F3A" w:rsidRPr="00AD69B9" w:rsidRDefault="00151F3A" w:rsidP="00AD69B9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</w:p>
    <w:p w14:paraId="403159E6" w14:textId="2E30256C" w:rsidR="00657D31" w:rsidRPr="00AD69B9" w:rsidRDefault="00657D31" w:rsidP="00657D31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Para 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operacionalização destes instrumentos e, consequentemente,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>promo</w:t>
      </w:r>
      <w:r>
        <w:rPr>
          <w:rFonts w:ascii="Tahoma" w:eastAsia="Times New Roman" w:hAnsi="Tahoma" w:cs="Tahoma"/>
          <w:sz w:val="19"/>
          <w:szCs w:val="19"/>
          <w:lang w:eastAsia="pt-BR"/>
        </w:rPr>
        <w:t>ver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 a política pública de CT&amp;I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,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a Finep 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utiliza </w:t>
      </w:r>
      <w:r w:rsidRPr="00657D31">
        <w:rPr>
          <w:rFonts w:ascii="Tahoma" w:eastAsia="Times New Roman" w:hAnsi="Tahoma" w:cs="Tahoma"/>
          <w:sz w:val="19"/>
          <w:szCs w:val="19"/>
          <w:lang w:eastAsia="pt-BR"/>
        </w:rPr>
        <w:t>recursos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 próprios,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capta recursos em fontes externas e opera </w:t>
      </w:r>
      <w:r>
        <w:rPr>
          <w:rFonts w:ascii="Tahoma" w:eastAsia="Times New Roman" w:hAnsi="Tahoma" w:cs="Tahoma"/>
          <w:sz w:val="19"/>
          <w:szCs w:val="19"/>
          <w:lang w:eastAsia="pt-BR"/>
        </w:rPr>
        <w:t>recursos d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>o Orçamento Fiscal da União.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 A seguir são discriminados os recursos gerenciados em cada Unidade Operacional para operacionalização de instrumentos.</w:t>
      </w:r>
    </w:p>
    <w:p w14:paraId="4052A173" w14:textId="77777777" w:rsidR="00657D31" w:rsidRPr="00AF6C14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</w:p>
    <w:p w14:paraId="0BC57665" w14:textId="77777777" w:rsidR="00657D31" w:rsidRPr="009F525A" w:rsidRDefault="00657D31" w:rsidP="00657D31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</w:pPr>
      <w:r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 xml:space="preserve">Recursos alocados na </w:t>
      </w:r>
      <w:r w:rsidRPr="009F525A"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>Unidade Operacional Finep</w:t>
      </w:r>
    </w:p>
    <w:p w14:paraId="315BB631" w14:textId="7D63AC88" w:rsidR="00657D31" w:rsidRPr="00AD69B9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Para operacionalizar os instrumentos </w:t>
      </w:r>
      <w:r w:rsidRPr="00AD69B9">
        <w:rPr>
          <w:rFonts w:ascii="Tahoma" w:hAnsi="Tahoma" w:cs="Tahoma"/>
          <w:sz w:val="19"/>
          <w:szCs w:val="19"/>
        </w:rPr>
        <w:t xml:space="preserve">de crédito, </w:t>
      </w:r>
      <w:r>
        <w:rPr>
          <w:rFonts w:ascii="Tahoma" w:hAnsi="Tahoma" w:cs="Tahoma"/>
          <w:sz w:val="19"/>
          <w:szCs w:val="19"/>
        </w:rPr>
        <w:t xml:space="preserve">os de </w:t>
      </w:r>
      <w:r w:rsidRPr="00AD69B9">
        <w:rPr>
          <w:rFonts w:ascii="Tahoma" w:hAnsi="Tahoma" w:cs="Tahoma"/>
          <w:sz w:val="19"/>
          <w:szCs w:val="19"/>
        </w:rPr>
        <w:t xml:space="preserve">investimento e </w:t>
      </w:r>
      <w:r>
        <w:rPr>
          <w:rFonts w:ascii="Tahoma" w:hAnsi="Tahoma" w:cs="Tahoma"/>
          <w:sz w:val="19"/>
          <w:szCs w:val="19"/>
        </w:rPr>
        <w:t xml:space="preserve">os de </w:t>
      </w:r>
      <w:r w:rsidRPr="00AD69B9">
        <w:rPr>
          <w:rFonts w:ascii="Tahoma" w:hAnsi="Tahoma" w:cs="Tahoma"/>
          <w:sz w:val="19"/>
          <w:szCs w:val="19"/>
        </w:rPr>
        <w:t>capacitação e premiação</w:t>
      </w:r>
      <w:r>
        <w:rPr>
          <w:rFonts w:ascii="Tahoma" w:hAnsi="Tahoma" w:cs="Tahoma"/>
          <w:sz w:val="19"/>
          <w:szCs w:val="19"/>
        </w:rPr>
        <w:t xml:space="preserve"> na Unidade Operacional Finep, a Finep utiliza </w:t>
      </w:r>
      <w:r w:rsidRPr="00C305DA">
        <w:rPr>
          <w:rFonts w:ascii="Tahoma" w:hAnsi="Tahoma" w:cs="Tahoma"/>
          <w:sz w:val="19"/>
          <w:szCs w:val="19"/>
        </w:rPr>
        <w:t>recursos</w:t>
      </w:r>
      <w:r>
        <w:rPr>
          <w:rFonts w:ascii="Tahoma" w:hAnsi="Tahoma" w:cs="Tahoma"/>
          <w:sz w:val="19"/>
          <w:szCs w:val="19"/>
        </w:rPr>
        <w:t xml:space="preserve"> próprios</w:t>
      </w:r>
      <w:r w:rsidRPr="00AD69B9">
        <w:rPr>
          <w:rFonts w:ascii="Tahoma" w:hAnsi="Tahoma" w:cs="Tahoma"/>
          <w:sz w:val="19"/>
          <w:szCs w:val="19"/>
        </w:rPr>
        <w:t xml:space="preserve"> obtidos com </w:t>
      </w:r>
      <w:r>
        <w:rPr>
          <w:rFonts w:ascii="Tahoma" w:hAnsi="Tahoma" w:cs="Tahoma"/>
          <w:sz w:val="19"/>
          <w:szCs w:val="19"/>
        </w:rPr>
        <w:t>a atividade de intermediação financeira</w:t>
      </w:r>
      <w:r w:rsidRPr="00AD69B9">
        <w:rPr>
          <w:rFonts w:ascii="Tahoma" w:hAnsi="Tahoma" w:cs="Tahoma"/>
          <w:sz w:val="19"/>
          <w:szCs w:val="19"/>
        </w:rPr>
        <w:t>.</w:t>
      </w:r>
    </w:p>
    <w:p w14:paraId="266943CE" w14:textId="0B3A23B2" w:rsidR="00657D31" w:rsidRPr="00AD69B9" w:rsidRDefault="00657D31" w:rsidP="00657D31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Nos </w:t>
      </w:r>
      <w:r>
        <w:rPr>
          <w:rFonts w:ascii="Tahoma" w:hAnsi="Tahoma" w:cs="Tahoma"/>
          <w:sz w:val="19"/>
          <w:szCs w:val="19"/>
        </w:rPr>
        <w:t xml:space="preserve">instrumentos </w:t>
      </w:r>
      <w:r w:rsidRPr="00AD69B9">
        <w:rPr>
          <w:rFonts w:ascii="Tahoma" w:hAnsi="Tahoma" w:cs="Tahoma"/>
          <w:sz w:val="19"/>
          <w:szCs w:val="19"/>
        </w:rPr>
        <w:t>de crédito</w:t>
      </w:r>
      <w:r>
        <w:rPr>
          <w:rFonts w:ascii="Tahoma" w:hAnsi="Tahoma" w:cs="Tahoma"/>
          <w:sz w:val="19"/>
          <w:szCs w:val="19"/>
        </w:rPr>
        <w:t xml:space="preserve"> e investimento</w:t>
      </w:r>
      <w:r>
        <w:rPr>
          <w:rStyle w:val="Refdenotaderodap"/>
          <w:rFonts w:ascii="Tahoma" w:hAnsi="Tahoma" w:cs="Tahoma"/>
          <w:sz w:val="19"/>
          <w:szCs w:val="19"/>
        </w:rPr>
        <w:footnoteReference w:id="12"/>
      </w:r>
      <w:r>
        <w:rPr>
          <w:rFonts w:ascii="Tahoma" w:hAnsi="Tahoma" w:cs="Tahoma"/>
          <w:sz w:val="19"/>
          <w:szCs w:val="19"/>
        </w:rPr>
        <w:t>, também são utilizados recursos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 captados junto 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a fundos que visam o fomento à CT&amp;I, como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o FNDCT e o </w:t>
      </w:r>
      <w:r>
        <w:rPr>
          <w:rFonts w:ascii="Tahoma" w:eastAsia="Times New Roman" w:hAnsi="Tahoma" w:cs="Tahoma"/>
          <w:sz w:val="19"/>
          <w:szCs w:val="19"/>
          <w:lang w:eastAsia="pt-BR"/>
        </w:rPr>
        <w:t>F</w:t>
      </w:r>
      <w:r w:rsidR="001C6B55">
        <w:rPr>
          <w:rFonts w:ascii="Tahoma" w:eastAsia="Times New Roman" w:hAnsi="Tahoma" w:cs="Tahoma"/>
          <w:sz w:val="19"/>
          <w:szCs w:val="19"/>
          <w:lang w:eastAsia="pt-BR"/>
        </w:rPr>
        <w:t>unttel</w:t>
      </w:r>
      <w:r>
        <w:rPr>
          <w:rFonts w:ascii="Tahoma" w:eastAsia="Times New Roman" w:hAnsi="Tahoma" w:cs="Tahoma"/>
          <w:sz w:val="19"/>
          <w:szCs w:val="19"/>
          <w:lang w:eastAsia="pt-BR"/>
        </w:rPr>
        <w:t>. A captação dos recursos reembolsáveis destes fundos é realizada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 sob a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lastRenderedPageBreak/>
        <w:t xml:space="preserve">forma de empréstimo (dívida onerosa), devendo retornar às fontes credoras na forma de amortização acrescidos de juros, 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conforme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>definido em contrato.</w:t>
      </w:r>
    </w:p>
    <w:p w14:paraId="2F5AECAF" w14:textId="77777777" w:rsidR="00657D31" w:rsidRPr="00AD69B9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AD69B9">
        <w:rPr>
          <w:rFonts w:ascii="Tahoma" w:hAnsi="Tahoma" w:cs="Tahoma"/>
          <w:sz w:val="19"/>
          <w:szCs w:val="19"/>
        </w:rPr>
        <w:t xml:space="preserve">É importante ressaltar que o custo operacional da Finep é integralmente pago com </w:t>
      </w:r>
      <w:r w:rsidRPr="00C305DA">
        <w:rPr>
          <w:rFonts w:ascii="Tahoma" w:hAnsi="Tahoma" w:cs="Tahoma"/>
          <w:sz w:val="19"/>
          <w:szCs w:val="19"/>
        </w:rPr>
        <w:t>recursos próprios</w:t>
      </w:r>
      <w:r w:rsidRPr="001C438F">
        <w:rPr>
          <w:rFonts w:ascii="Tahoma" w:hAnsi="Tahoma" w:cs="Tahoma"/>
          <w:sz w:val="19"/>
          <w:szCs w:val="19"/>
        </w:rPr>
        <w:t xml:space="preserve"> oriundos</w:t>
      </w:r>
      <w:r w:rsidRPr="00AD69B9">
        <w:rPr>
          <w:rFonts w:ascii="Tahoma" w:hAnsi="Tahoma" w:cs="Tahoma"/>
          <w:sz w:val="19"/>
          <w:szCs w:val="19"/>
        </w:rPr>
        <w:t xml:space="preserve"> das receitas advindas pela operacionalização de seus instrumentos (tarifas, juros, taxas de administração, dividendos) e rendimentos com aplicação financeira, não havendo aportes do Tesouro Nacional ou captação junto a outras fontes para esse fim.</w:t>
      </w:r>
    </w:p>
    <w:p w14:paraId="4E36CDEA" w14:textId="28E8FF97" w:rsidR="00657D31" w:rsidDel="00BD6292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Del="00BD6292">
        <w:rPr>
          <w:rFonts w:ascii="Tahoma" w:hAnsi="Tahoma" w:cs="Tahoma"/>
          <w:sz w:val="19"/>
          <w:szCs w:val="19"/>
        </w:rPr>
        <w:t>Os custos incorridos pela empresa na implementação da política pública de CT&amp;I podem ser acessados no Relatório de Gestão 202</w:t>
      </w:r>
      <w:r w:rsidR="001C6B55">
        <w:rPr>
          <w:rFonts w:ascii="Tahoma" w:hAnsi="Tahoma" w:cs="Tahoma"/>
          <w:sz w:val="19"/>
          <w:szCs w:val="19"/>
        </w:rPr>
        <w:t>3</w:t>
      </w:r>
      <w:r w:rsidDel="00BD6292">
        <w:rPr>
          <w:rFonts w:ascii="Tahoma" w:hAnsi="Tahoma" w:cs="Tahoma"/>
          <w:sz w:val="19"/>
          <w:szCs w:val="19"/>
        </w:rPr>
        <w:t xml:space="preserve">, na seção ‘Gestão de Custos’, publicado em </w:t>
      </w:r>
      <w:hyperlink r:id="rId27" w:history="1">
        <w:r w:rsidRPr="00BB2ECD" w:rsidDel="00BD6292">
          <w:rPr>
            <w:rStyle w:val="Hyperlink"/>
            <w:rFonts w:ascii="Tahoma" w:hAnsi="Tahoma" w:cs="Tahoma"/>
            <w:sz w:val="19"/>
            <w:szCs w:val="19"/>
          </w:rPr>
          <w:t>http://www.finep.gov.br/transparencia-finep/relatorios-do-fndct/relatorios-de-gestao</w:t>
        </w:r>
      </w:hyperlink>
      <w:r w:rsidDel="00BD6292">
        <w:rPr>
          <w:rFonts w:ascii="Tahoma" w:hAnsi="Tahoma" w:cs="Tahoma"/>
          <w:sz w:val="19"/>
          <w:szCs w:val="19"/>
        </w:rPr>
        <w:t>.</w:t>
      </w:r>
    </w:p>
    <w:p w14:paraId="278669C5" w14:textId="404EC590" w:rsidR="00657D31" w:rsidRDefault="00657D31" w:rsidP="00657D31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6A946349" w14:textId="77777777" w:rsidR="00657D31" w:rsidRPr="00E86F95" w:rsidRDefault="00657D31" w:rsidP="00657D31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</w:pPr>
      <w:r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 xml:space="preserve">Recursos geridos na </w:t>
      </w:r>
      <w:r w:rsidRPr="00E86F95"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 xml:space="preserve">Unidade Operacional </w:t>
      </w:r>
      <w:r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>Secretaria Executiva do FNDCT</w:t>
      </w:r>
    </w:p>
    <w:p w14:paraId="59B1D49D" w14:textId="1645AF7E" w:rsidR="00657D31" w:rsidRPr="00AD69B9" w:rsidRDefault="00F65BD9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D96470">
        <w:rPr>
          <w:rFonts w:ascii="Tahoma" w:eastAsia="Calibri" w:hAnsi="Tahoma" w:cs="Tahoma"/>
          <w:color w:val="005051"/>
          <w:sz w:val="19"/>
          <w:szCs w:val="19"/>
        </w:rPr>
        <w:t>A</w:t>
      </w:r>
      <w:r w:rsidRPr="00D96470">
        <w:rPr>
          <w:rFonts w:ascii="Tahoma" w:eastAsia="Calibri" w:hAnsi="Tahoma" w:cs="Tahoma"/>
          <w:sz w:val="19"/>
          <w:szCs w:val="19"/>
        </w:rPr>
        <w:t xml:space="preserve"> Finep opera recursos consignados no Orçamento Fiscal da União</w:t>
      </w:r>
      <w:r w:rsidRPr="00D96470">
        <w:rPr>
          <w:rFonts w:ascii="Tahoma" w:eastAsia="Calibri" w:hAnsi="Tahoma" w:cs="Tahoma"/>
          <w:sz w:val="19"/>
          <w:szCs w:val="19"/>
          <w:vertAlign w:val="superscript"/>
        </w:rPr>
        <w:footnoteReference w:id="13"/>
      </w:r>
      <w:r w:rsidRPr="00D96470">
        <w:rPr>
          <w:rFonts w:ascii="Tahoma" w:eastAsia="Calibri" w:hAnsi="Tahoma" w:cs="Tahoma"/>
          <w:sz w:val="19"/>
          <w:szCs w:val="19"/>
        </w:rPr>
        <w:t>, como o FNDCT não reembolsável (incluindo fontes que descentralizam recursos para o FNDCT, como o FNS) e o F</w:t>
      </w:r>
      <w:r>
        <w:rPr>
          <w:rFonts w:ascii="Tahoma" w:eastAsia="Calibri" w:hAnsi="Tahoma" w:cs="Tahoma"/>
          <w:sz w:val="19"/>
          <w:szCs w:val="19"/>
        </w:rPr>
        <w:t>unttel</w:t>
      </w:r>
      <w:r w:rsidRPr="00D96470">
        <w:rPr>
          <w:rFonts w:ascii="Tahoma" w:eastAsia="Calibri" w:hAnsi="Tahoma" w:cs="Tahoma"/>
          <w:sz w:val="19"/>
          <w:szCs w:val="19"/>
        </w:rPr>
        <w:t xml:space="preserve"> não reembolsável. </w:t>
      </w:r>
      <w:r w:rsidR="00657D31">
        <w:rPr>
          <w:rFonts w:ascii="Tahoma" w:hAnsi="Tahoma" w:cs="Tahoma"/>
          <w:sz w:val="19"/>
          <w:szCs w:val="19"/>
        </w:rPr>
        <w:t xml:space="preserve">Na Unidade Operacional Secretaria Executiva do FNDCT são geridos </w:t>
      </w:r>
      <w:r w:rsidR="005602BA">
        <w:rPr>
          <w:rFonts w:ascii="Tahoma" w:hAnsi="Tahoma" w:cs="Tahoma"/>
          <w:sz w:val="19"/>
          <w:szCs w:val="19"/>
        </w:rPr>
        <w:t xml:space="preserve">somente </w:t>
      </w:r>
      <w:r w:rsidR="00B43B98">
        <w:rPr>
          <w:rFonts w:ascii="Tahoma" w:hAnsi="Tahoma" w:cs="Tahoma"/>
          <w:sz w:val="19"/>
          <w:szCs w:val="19"/>
        </w:rPr>
        <w:t>os</w:t>
      </w:r>
      <w:r w:rsidR="00657D31">
        <w:rPr>
          <w:rFonts w:ascii="Tahoma" w:hAnsi="Tahoma" w:cs="Tahoma"/>
          <w:sz w:val="19"/>
          <w:szCs w:val="19"/>
        </w:rPr>
        <w:t xml:space="preserve"> recursos não reembolsáveis do FNDCT</w:t>
      </w:r>
      <w:r w:rsidR="00657D31" w:rsidRPr="00302AFD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="00657D3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destinados </w:t>
      </w:r>
      <w:r w:rsidR="001C6B55">
        <w:rPr>
          <w:rFonts w:ascii="Tahoma" w:eastAsia="SimSun" w:hAnsi="Tahoma" w:cs="Tahoma"/>
          <w:kern w:val="3"/>
          <w:sz w:val="19"/>
          <w:szCs w:val="19"/>
          <w:lang w:bidi="hi-IN"/>
        </w:rPr>
        <w:t>a</w:t>
      </w:r>
      <w:r w:rsidR="00657D31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ICTs, subvenção econômica a empresas, equalização de juros</w:t>
      </w:r>
      <w:r w:rsidR="00657D3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</w:t>
      </w:r>
      <w:r w:rsidR="00657D31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investimento em FIPs não exclusivos</w:t>
      </w:r>
      <w:r w:rsidR="00657D31">
        <w:rPr>
          <w:rFonts w:ascii="Tahoma" w:hAnsi="Tahoma" w:cs="Tahoma"/>
          <w:sz w:val="19"/>
          <w:szCs w:val="19"/>
        </w:rPr>
        <w:t>.</w:t>
      </w:r>
    </w:p>
    <w:p w14:paraId="163676DC" w14:textId="3A883644" w:rsidR="00657D31" w:rsidRPr="00AD69B9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Estes </w:t>
      </w:r>
      <w:r w:rsidRPr="002268E9">
        <w:rPr>
          <w:rFonts w:ascii="Tahoma" w:hAnsi="Tahoma" w:cs="Tahoma"/>
          <w:sz w:val="19"/>
          <w:szCs w:val="19"/>
        </w:rPr>
        <w:t>recursos</w:t>
      </w:r>
      <w:r>
        <w:rPr>
          <w:rFonts w:ascii="Tahoma" w:hAnsi="Tahoma" w:cs="Tahoma"/>
          <w:sz w:val="19"/>
          <w:szCs w:val="19"/>
        </w:rPr>
        <w:t>,</w:t>
      </w:r>
      <w:r w:rsidRPr="002268E9">
        <w:rPr>
          <w:rFonts w:ascii="Tahoma" w:hAnsi="Tahoma" w:cs="Tahoma"/>
          <w:sz w:val="19"/>
          <w:szCs w:val="19"/>
        </w:rPr>
        <w:t xml:space="preserve"> aplicados em diversas ações orçamentárias</w:t>
      </w:r>
      <w:r>
        <w:rPr>
          <w:rFonts w:ascii="Tahoma" w:hAnsi="Tahoma" w:cs="Tahoma"/>
          <w:sz w:val="19"/>
          <w:szCs w:val="19"/>
        </w:rPr>
        <w:t>,</w:t>
      </w:r>
      <w:r w:rsidRPr="002268E9">
        <w:rPr>
          <w:rFonts w:ascii="Tahoma" w:hAnsi="Tahoma" w:cs="Tahoma"/>
          <w:sz w:val="19"/>
          <w:szCs w:val="19"/>
        </w:rPr>
        <w:t xml:space="preserve"> são oriundos da arrecadação dos Fundos Setoriais que compõem o FNDCT</w:t>
      </w:r>
      <w:r>
        <w:rPr>
          <w:rFonts w:ascii="Tahoma" w:hAnsi="Tahoma" w:cs="Tahoma"/>
          <w:sz w:val="19"/>
          <w:szCs w:val="19"/>
        </w:rPr>
        <w:t xml:space="preserve">. Essas ações são </w:t>
      </w:r>
      <w:r w:rsidRPr="00AD69B9">
        <w:rPr>
          <w:rFonts w:ascii="Tahoma" w:hAnsi="Tahoma" w:cs="Tahoma"/>
          <w:sz w:val="19"/>
          <w:szCs w:val="19"/>
        </w:rPr>
        <w:t>definidas na Lei Orçamentária Anual, na Unidade Orçamentária 24901 – Fundo Nacional de Desenvolvimento Científico e Tecnológico (ver Volume IV da LOA 202</w:t>
      </w:r>
      <w:r w:rsidR="00377C74">
        <w:rPr>
          <w:rFonts w:ascii="Tahoma" w:hAnsi="Tahoma" w:cs="Tahoma"/>
          <w:sz w:val="19"/>
          <w:szCs w:val="19"/>
        </w:rPr>
        <w:t>4</w:t>
      </w:r>
      <w:r w:rsidRPr="00AD69B9">
        <w:rPr>
          <w:rFonts w:ascii="Tahoma" w:hAnsi="Tahoma" w:cs="Tahoma"/>
          <w:sz w:val="19"/>
          <w:szCs w:val="19"/>
        </w:rPr>
        <w:t xml:space="preserve"> em</w:t>
      </w:r>
      <w:r w:rsidR="00377C74">
        <w:rPr>
          <w:rFonts w:ascii="Tahoma" w:hAnsi="Tahoma" w:cs="Tahoma"/>
          <w:sz w:val="19"/>
          <w:szCs w:val="19"/>
        </w:rPr>
        <w:t xml:space="preserve"> </w:t>
      </w:r>
      <w:hyperlink r:id="rId28" w:history="1">
        <w:r w:rsidR="00377C74" w:rsidRPr="007D2AC7">
          <w:rPr>
            <w:rStyle w:val="Hyperlink"/>
            <w:rFonts w:ascii="Tahoma" w:hAnsi="Tahoma" w:cs="Tahoma"/>
            <w:sz w:val="19"/>
            <w:szCs w:val="19"/>
          </w:rPr>
          <w:t>https://www.gov.br/planejamento/pt-br/assuntos/orcamento/orcamento/orcamentos-anuais/2024/loa/lei-orcamentaria-anual-loa</w:t>
        </w:r>
      </w:hyperlink>
      <w:r w:rsidRPr="00AD69B9">
        <w:rPr>
          <w:rFonts w:ascii="Tahoma" w:hAnsi="Tahoma" w:cs="Tahoma"/>
          <w:sz w:val="19"/>
          <w:szCs w:val="19"/>
        </w:rPr>
        <w:t>).</w:t>
      </w:r>
    </w:p>
    <w:p w14:paraId="6319772B" w14:textId="77777777" w:rsidR="00D133AB" w:rsidRDefault="00D133AB" w:rsidP="00657D31">
      <w:pPr>
        <w:spacing w:before="120" w:after="120" w:line="360" w:lineRule="auto"/>
        <w:jc w:val="both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003764A5" w14:textId="77777777" w:rsidR="00657D31" w:rsidRPr="00E86F95" w:rsidRDefault="00657D31" w:rsidP="00657D31">
      <w:pPr>
        <w:suppressAutoHyphens/>
        <w:autoSpaceDN w:val="0"/>
        <w:spacing w:before="120" w:after="120" w:line="360" w:lineRule="auto"/>
        <w:jc w:val="both"/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</w:pPr>
      <w:r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 xml:space="preserve">Recursos de terceiros gerenciados na </w:t>
      </w:r>
      <w:r w:rsidRPr="00E86F95"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>Unidade Operacional</w:t>
      </w:r>
      <w:r w:rsidRPr="004D064B">
        <w:t xml:space="preserve"> </w:t>
      </w:r>
      <w:r w:rsidRPr="004D064B">
        <w:rPr>
          <w:rFonts w:ascii="Tahoma" w:eastAsia="Times New Roman" w:hAnsi="Tahoma" w:cs="Tahoma"/>
          <w:b/>
          <w:bCs/>
          <w:color w:val="005051"/>
          <w:sz w:val="19"/>
          <w:szCs w:val="19"/>
          <w:lang w:eastAsia="pt-BR"/>
        </w:rPr>
        <w:t>Gestora de Recursos de Terceiros</w:t>
      </w:r>
    </w:p>
    <w:p w14:paraId="681CB221" w14:textId="215A9AE6" w:rsidR="00657D31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Nesta Unidade Operacional, são gerenciados recursos não reembolsáveis obtidos junto a outras fontes, que não o FNDCT. Parte destes recursos também são orçamentários, como o FNS e o F</w:t>
      </w:r>
      <w:r w:rsidR="003C3D83">
        <w:rPr>
          <w:rFonts w:ascii="Tahoma" w:hAnsi="Tahoma" w:cs="Tahoma"/>
          <w:sz w:val="19"/>
          <w:szCs w:val="19"/>
        </w:rPr>
        <w:t>unttel</w:t>
      </w:r>
      <w:r>
        <w:rPr>
          <w:rFonts w:ascii="Tahoma" w:hAnsi="Tahoma" w:cs="Tahoma"/>
          <w:sz w:val="19"/>
          <w:szCs w:val="19"/>
        </w:rPr>
        <w:t xml:space="preserve"> não reembolsável.</w:t>
      </w:r>
    </w:p>
    <w:p w14:paraId="2FEA91EE" w14:textId="7F2F79EF" w:rsidR="00657D31" w:rsidRPr="00AD69B9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Os</w:t>
      </w:r>
      <w:r w:rsidRPr="00AD69B9">
        <w:rPr>
          <w:rFonts w:ascii="Tahoma" w:hAnsi="Tahoma" w:cs="Tahoma"/>
          <w:sz w:val="19"/>
          <w:szCs w:val="19"/>
        </w:rPr>
        <w:t xml:space="preserve"> recursos oriundos do FNS </w:t>
      </w:r>
      <w:r>
        <w:rPr>
          <w:rFonts w:ascii="Tahoma" w:hAnsi="Tahoma" w:cs="Tahoma"/>
          <w:sz w:val="19"/>
          <w:szCs w:val="19"/>
        </w:rPr>
        <w:t xml:space="preserve">são </w:t>
      </w:r>
      <w:r w:rsidRPr="00AD69B9">
        <w:rPr>
          <w:rFonts w:ascii="Tahoma" w:hAnsi="Tahoma" w:cs="Tahoma"/>
          <w:sz w:val="19"/>
          <w:szCs w:val="19"/>
        </w:rPr>
        <w:t>descentralizados ao FNDCT com a finalidade de apoiar projetos de CT&amp;I na área de saúde, selecionados através de chamadas públicas conjuntas FNS-FNDCT ou encomendas tecnológicas.</w:t>
      </w:r>
      <w:r>
        <w:rPr>
          <w:rFonts w:ascii="Tahoma" w:hAnsi="Tahoma" w:cs="Tahoma"/>
          <w:sz w:val="19"/>
          <w:szCs w:val="19"/>
        </w:rPr>
        <w:t xml:space="preserve"> Os recursos não reembolsáveis do F</w:t>
      </w:r>
      <w:r w:rsidR="003C3D83">
        <w:rPr>
          <w:rFonts w:ascii="Tahoma" w:hAnsi="Tahoma" w:cs="Tahoma"/>
          <w:sz w:val="19"/>
          <w:szCs w:val="19"/>
        </w:rPr>
        <w:t>unttel</w:t>
      </w:r>
      <w:r>
        <w:rPr>
          <w:rFonts w:ascii="Tahoma" w:hAnsi="Tahoma" w:cs="Tahoma"/>
          <w:sz w:val="19"/>
          <w:szCs w:val="19"/>
        </w:rPr>
        <w:t xml:space="preserve"> são operados pela Finep na Unidade Orçamentária 41903 - </w:t>
      </w:r>
      <w:r w:rsidRPr="003378B6">
        <w:rPr>
          <w:rFonts w:ascii="Tahoma" w:hAnsi="Tahoma" w:cs="Tahoma"/>
          <w:sz w:val="19"/>
          <w:szCs w:val="19"/>
        </w:rPr>
        <w:t xml:space="preserve">Fundo Para </w:t>
      </w:r>
      <w:r>
        <w:rPr>
          <w:rFonts w:ascii="Tahoma" w:hAnsi="Tahoma" w:cs="Tahoma"/>
          <w:sz w:val="19"/>
          <w:szCs w:val="19"/>
        </w:rPr>
        <w:t>o</w:t>
      </w:r>
      <w:r w:rsidR="0083338A">
        <w:rPr>
          <w:rFonts w:ascii="Tahoma" w:hAnsi="Tahoma" w:cs="Tahoma"/>
          <w:sz w:val="19"/>
          <w:szCs w:val="19"/>
        </w:rPr>
        <w:t xml:space="preserve"> Desenvolvimento Tecnológico d</w:t>
      </w:r>
      <w:r w:rsidRPr="003378B6"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z w:val="19"/>
          <w:szCs w:val="19"/>
        </w:rPr>
        <w:t xml:space="preserve"> </w:t>
      </w:r>
      <w:r w:rsidRPr="003378B6">
        <w:rPr>
          <w:rFonts w:ascii="Tahoma" w:hAnsi="Tahoma" w:cs="Tahoma"/>
          <w:sz w:val="19"/>
          <w:szCs w:val="19"/>
        </w:rPr>
        <w:t xml:space="preserve">Telecomunicações </w:t>
      </w:r>
      <w:r>
        <w:rPr>
          <w:rFonts w:ascii="Tahoma" w:hAnsi="Tahoma" w:cs="Tahoma"/>
          <w:sz w:val="19"/>
          <w:szCs w:val="19"/>
        </w:rPr>
        <w:t>–</w:t>
      </w:r>
      <w:r w:rsidRPr="003378B6">
        <w:rPr>
          <w:rFonts w:ascii="Tahoma" w:hAnsi="Tahoma" w:cs="Tahoma"/>
          <w:sz w:val="19"/>
          <w:szCs w:val="19"/>
        </w:rPr>
        <w:t xml:space="preserve"> FUNTTEL</w:t>
      </w:r>
      <w:r>
        <w:rPr>
          <w:rFonts w:ascii="Tahoma" w:hAnsi="Tahoma" w:cs="Tahoma"/>
          <w:sz w:val="19"/>
          <w:szCs w:val="19"/>
        </w:rPr>
        <w:t xml:space="preserve"> com a finalidade de apoiar projetos</w:t>
      </w:r>
      <w:r w:rsidRPr="0082140C">
        <w:t xml:space="preserve"> </w:t>
      </w:r>
      <w:r w:rsidRPr="0082140C">
        <w:rPr>
          <w:rFonts w:ascii="Tahoma" w:hAnsi="Tahoma" w:cs="Tahoma"/>
          <w:sz w:val="19"/>
          <w:szCs w:val="19"/>
        </w:rPr>
        <w:t>de pesquisa e desenvolvimento na área de telecomunicações</w:t>
      </w:r>
      <w:r>
        <w:rPr>
          <w:rFonts w:ascii="Tahoma" w:hAnsi="Tahoma" w:cs="Tahoma"/>
          <w:sz w:val="19"/>
          <w:szCs w:val="19"/>
        </w:rPr>
        <w:t>.</w:t>
      </w:r>
    </w:p>
    <w:p w14:paraId="2661987F" w14:textId="28D9C1F8" w:rsidR="00657D31" w:rsidRPr="00AD69B9" w:rsidRDefault="00657D31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AD69B9">
        <w:rPr>
          <w:rFonts w:ascii="Tahoma" w:hAnsi="Tahoma" w:cs="Tahoma"/>
          <w:sz w:val="19"/>
          <w:szCs w:val="19"/>
        </w:rPr>
        <w:t xml:space="preserve">Detalhamento sobre a execução dos recursos do FNDCT e do FNS podem ser encontrados em </w:t>
      </w:r>
      <w:hyperlink r:id="rId29" w:history="1">
        <w:r w:rsidRPr="00AD69B9">
          <w:rPr>
            <w:rStyle w:val="Hyperlink"/>
            <w:rFonts w:ascii="Tahoma" w:hAnsi="Tahoma" w:cs="Tahoma"/>
            <w:sz w:val="19"/>
            <w:szCs w:val="19"/>
          </w:rPr>
          <w:t>http://finep.gov.br/a-finep-externo/fndct/execucao-orcamentaria-e-financeira/demonstrativos-da-execucao</w:t>
        </w:r>
      </w:hyperlink>
      <w:r w:rsidRPr="00AD69B9">
        <w:rPr>
          <w:rFonts w:ascii="Tahoma" w:hAnsi="Tahoma" w:cs="Tahoma"/>
          <w:sz w:val="19"/>
          <w:szCs w:val="19"/>
        </w:rPr>
        <w:t>.</w:t>
      </w:r>
    </w:p>
    <w:p w14:paraId="09240FCA" w14:textId="2D74950C" w:rsidR="00657D31" w:rsidRPr="00AD69B9" w:rsidRDefault="00657D31" w:rsidP="00657D31">
      <w:pPr>
        <w:suppressAutoHyphens/>
        <w:autoSpaceDN w:val="0"/>
        <w:spacing w:after="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Adicionalmente, registra-se que como estratégia de diversificação de fontes de captação, a Finep firmou dois </w:t>
      </w:r>
      <w:r w:rsidR="00230020">
        <w:rPr>
          <w:rFonts w:ascii="Tahoma" w:eastAsia="Times New Roman" w:hAnsi="Tahoma" w:cs="Tahoma"/>
          <w:sz w:val="19"/>
          <w:szCs w:val="19"/>
          <w:lang w:eastAsia="pt-BR"/>
        </w:rPr>
        <w:t>a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cordos para a operacionalização de recursos de terceiros, voltados para a aplicação em operações não reembolsáveis, que se 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lastRenderedPageBreak/>
        <w:t>caracterizam como uma dívida não onerosa, não sendo, portanto, base para a incidência de juros e amortização, são eles:</w:t>
      </w:r>
    </w:p>
    <w:p w14:paraId="477E6F15" w14:textId="05C08D4E" w:rsidR="00657D31" w:rsidRPr="00AD69B9" w:rsidRDefault="00657D31" w:rsidP="00657D31">
      <w:pPr>
        <w:numPr>
          <w:ilvl w:val="0"/>
          <w:numId w:val="11"/>
        </w:numPr>
        <w:suppressAutoHyphens/>
        <w:autoSpaceDN w:val="0"/>
        <w:spacing w:after="0" w:line="360" w:lineRule="auto"/>
        <w:ind w:left="993" w:hanging="567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o </w:t>
      </w:r>
      <w:r w:rsidR="00230020">
        <w:rPr>
          <w:rFonts w:ascii="Tahoma" w:eastAsia="Times New Roman" w:hAnsi="Tahoma" w:cs="Tahoma"/>
          <w:sz w:val="19"/>
          <w:szCs w:val="19"/>
          <w:lang w:eastAsia="pt-BR"/>
        </w:rPr>
        <w:t>a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>cordo com a Agência Nacional do Petróleo (ANP) de Cooperação Técnica e Financeira Nº 01/2018/PRH-ANP, para implementação do Programa de Formação de Recursos Humanos da ANP para o Setor de Petróleo, Gás Natural e Biocombustíveis (PRH-ANP), visando estimular às instituições de ensino a proverem especializações em áreas estratégicas</w:t>
      </w:r>
      <w:r>
        <w:rPr>
          <w:rFonts w:ascii="Tahoma" w:eastAsia="Times New Roman" w:hAnsi="Tahoma" w:cs="Tahoma"/>
          <w:sz w:val="19"/>
          <w:szCs w:val="19"/>
          <w:lang w:eastAsia="pt-BR"/>
        </w:rPr>
        <w:t>;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 e</w:t>
      </w:r>
    </w:p>
    <w:p w14:paraId="58784308" w14:textId="6ED40252" w:rsidR="00657D31" w:rsidRPr="00AD69B9" w:rsidRDefault="00657D31" w:rsidP="00657D31">
      <w:pPr>
        <w:numPr>
          <w:ilvl w:val="0"/>
          <w:numId w:val="11"/>
        </w:numPr>
        <w:suppressAutoHyphens/>
        <w:autoSpaceDN w:val="0"/>
        <w:spacing w:after="0" w:line="360" w:lineRule="auto"/>
        <w:ind w:left="993" w:hanging="567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AD69B9">
        <w:rPr>
          <w:rFonts w:ascii="Tahoma" w:eastAsia="Times New Roman" w:hAnsi="Tahoma" w:cs="Tahoma"/>
          <w:sz w:val="19"/>
          <w:szCs w:val="19"/>
          <w:lang w:eastAsia="pt-BR"/>
        </w:rPr>
        <w:t xml:space="preserve">o </w:t>
      </w:r>
      <w:r w:rsidR="00230020">
        <w:rPr>
          <w:rFonts w:ascii="Tahoma" w:eastAsia="Times New Roman" w:hAnsi="Tahoma" w:cs="Tahoma"/>
          <w:sz w:val="19"/>
          <w:szCs w:val="19"/>
          <w:lang w:eastAsia="pt-BR"/>
        </w:rPr>
        <w:t>a</w:t>
      </w:r>
      <w:r w:rsidRPr="00AD69B9">
        <w:rPr>
          <w:rFonts w:ascii="Tahoma" w:eastAsia="Times New Roman" w:hAnsi="Tahoma" w:cs="Tahoma"/>
          <w:sz w:val="19"/>
          <w:szCs w:val="19"/>
          <w:lang w:eastAsia="pt-BR"/>
        </w:rPr>
        <w:t>cordo com o Ministério da Economia (ME) de Cooperação Técnica Nº 03/2019, com vistas a atuar como Agente Financeira do Programa Rota 2030 – Mobilidade e Logística, instituído pela Lei 13.755/2018</w:t>
      </w:r>
      <w:r>
        <w:rPr>
          <w:rFonts w:ascii="Tahoma" w:eastAsia="Times New Roman" w:hAnsi="Tahoma" w:cs="Tahoma"/>
          <w:sz w:val="19"/>
          <w:szCs w:val="19"/>
          <w:lang w:eastAsia="pt-BR"/>
        </w:rPr>
        <w:t>.</w:t>
      </w:r>
    </w:p>
    <w:p w14:paraId="18B071E9" w14:textId="64A4827E" w:rsidR="00657D31" w:rsidRPr="00AD69B9" w:rsidRDefault="00DA66D2" w:rsidP="00657D31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Trata-se</w:t>
      </w:r>
      <w:r w:rsidR="00657D31">
        <w:rPr>
          <w:rFonts w:ascii="Tahoma" w:hAnsi="Tahoma" w:cs="Tahoma"/>
          <w:sz w:val="19"/>
          <w:szCs w:val="19"/>
        </w:rPr>
        <w:t xml:space="preserve"> de recursos privados, oriundos de empresas com obrigação legal de investimento em PD&amp;I, que são gerenciados pela Finep através de contas correntes específicas.</w:t>
      </w:r>
    </w:p>
    <w:p w14:paraId="440EAF9E" w14:textId="77777777" w:rsidR="00657D31" w:rsidRPr="00AD69B9" w:rsidRDefault="00657D31" w:rsidP="00657D31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05208DC5" w14:textId="17AE723E" w:rsidR="00352C83" w:rsidRPr="007752C3" w:rsidRDefault="00D0712B" w:rsidP="00105DEB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16" w:name="_Toc166575248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Impactos econômico-financeiros da operacionalização da política pública</w:t>
      </w:r>
      <w:bookmarkEnd w:id="16"/>
    </w:p>
    <w:p w14:paraId="509062F7" w14:textId="2C5CF529" w:rsidR="00F60D12" w:rsidRDefault="00E2082E" w:rsidP="00F60D1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>Os recursos utilizados pela Finep</w:t>
      </w:r>
      <w:r w:rsidR="0087688D">
        <w:rPr>
          <w:rStyle w:val="Refdenotaderodap"/>
          <w:rFonts w:ascii="Tahoma" w:eastAsia="SimSun" w:hAnsi="Tahoma" w:cs="Tahoma"/>
          <w:kern w:val="3"/>
          <w:sz w:val="19"/>
          <w:szCs w:val="19"/>
          <w:lang w:bidi="hi-IN"/>
        </w:rPr>
        <w:footnoteReference w:id="14"/>
      </w:r>
      <w:r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para a implementação de ações da política pública de CT&amp;I estão discriminados na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Tabela </w:t>
      </w:r>
      <w:r w:rsidR="00812DBE">
        <w:rPr>
          <w:rFonts w:ascii="Tahoma" w:eastAsia="SimSun" w:hAnsi="Tahoma" w:cs="Tahoma"/>
          <w:kern w:val="3"/>
          <w:sz w:val="19"/>
          <w:szCs w:val="19"/>
          <w:lang w:bidi="hi-IN"/>
        </w:rPr>
        <w:t>1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1A37AA02" w14:textId="64133258" w:rsidR="00E2082E" w:rsidRPr="00E2082E" w:rsidRDefault="00E2082E" w:rsidP="000B04DA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812DB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Tabela </w:t>
      </w:r>
      <w:r w:rsidR="00812DBE" w:rsidRPr="00812DB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1</w:t>
      </w:r>
      <w:r w:rsidRPr="00812DBE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– Política públic</w:t>
      </w:r>
      <w:r w:rsidR="0083338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a de CT&amp;I – Origem dos recursos</w:t>
      </w:r>
      <w:r w:rsidR="000B04D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0B04D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0B04D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83338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83338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83338A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ab/>
      </w:r>
      <w:r w:rsidR="007B0620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       </w:t>
      </w:r>
      <w:r w:rsidR="000B04DA" w:rsidRPr="000B04DA">
        <w:rPr>
          <w:rFonts w:ascii="Tahoma" w:eastAsia="SimSun" w:hAnsi="Tahoma" w:cs="Tahoma"/>
          <w:i/>
          <w:iCs/>
          <w:kern w:val="3"/>
          <w:sz w:val="16"/>
          <w:szCs w:val="16"/>
          <w:lang w:bidi="hi-IN"/>
        </w:rPr>
        <w:t>(em R$)</w:t>
      </w:r>
    </w:p>
    <w:tbl>
      <w:tblPr>
        <w:tblStyle w:val="Tabelacomgrade"/>
        <w:tblW w:w="9781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1782"/>
        <w:gridCol w:w="1418"/>
        <w:gridCol w:w="1701"/>
        <w:gridCol w:w="1701"/>
        <w:gridCol w:w="1984"/>
        <w:gridCol w:w="142"/>
      </w:tblGrid>
      <w:tr w:rsidR="007F5E05" w:rsidRPr="00F60D12" w14:paraId="55ACF441" w14:textId="77777777" w:rsidTr="00B54E1C">
        <w:trPr>
          <w:trHeight w:val="790"/>
          <w:tblHeader/>
        </w:trPr>
        <w:tc>
          <w:tcPr>
            <w:tcW w:w="1053" w:type="dxa"/>
            <w:shd w:val="clear" w:color="auto" w:fill="005051"/>
            <w:vAlign w:val="center"/>
          </w:tcPr>
          <w:p w14:paraId="4C7CF28C" w14:textId="77777777" w:rsidR="007F5E05" w:rsidRPr="00F60D12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Política Pública</w:t>
            </w:r>
          </w:p>
        </w:tc>
        <w:tc>
          <w:tcPr>
            <w:tcW w:w="1782" w:type="dxa"/>
            <w:shd w:val="clear" w:color="auto" w:fill="005051"/>
            <w:vAlign w:val="center"/>
          </w:tcPr>
          <w:p w14:paraId="7071CBE2" w14:textId="2C9A2695" w:rsidR="007F5E05" w:rsidRPr="00F60D12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Recursos a serem empregados</w:t>
            </w:r>
            <w:r w:rsidR="001F7389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 ou geridos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 (202</w:t>
            </w:r>
            <w:r w:rsid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4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)</w:t>
            </w:r>
          </w:p>
        </w:tc>
        <w:tc>
          <w:tcPr>
            <w:tcW w:w="1418" w:type="dxa"/>
            <w:shd w:val="clear" w:color="auto" w:fill="005051"/>
            <w:vAlign w:val="center"/>
          </w:tcPr>
          <w:p w14:paraId="58A793F0" w14:textId="77777777" w:rsidR="007F5E05" w:rsidRPr="00F60D12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Origem dos recursos</w:t>
            </w:r>
          </w:p>
        </w:tc>
        <w:tc>
          <w:tcPr>
            <w:tcW w:w="1701" w:type="dxa"/>
            <w:shd w:val="clear" w:color="auto" w:fill="005051"/>
            <w:vAlign w:val="center"/>
          </w:tcPr>
          <w:p w14:paraId="2FE33B2D" w14:textId="77777777" w:rsidR="007F5E05" w:rsidRPr="00F60D12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Previsão de recursos da carta anterior</w:t>
            </w:r>
          </w:p>
        </w:tc>
        <w:tc>
          <w:tcPr>
            <w:tcW w:w="1701" w:type="dxa"/>
            <w:shd w:val="clear" w:color="auto" w:fill="005051"/>
            <w:vAlign w:val="center"/>
          </w:tcPr>
          <w:p w14:paraId="3B61F0C9" w14:textId="5A560671" w:rsidR="007F5E05" w:rsidRPr="00F60D12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Recursos empregados </w:t>
            </w:r>
            <w:r w:rsidR="001F7389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 xml:space="preserve">ou geridos 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(202</w:t>
            </w:r>
            <w:r w:rsid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3</w:t>
            </w: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)</w:t>
            </w:r>
          </w:p>
        </w:tc>
        <w:tc>
          <w:tcPr>
            <w:tcW w:w="2126" w:type="dxa"/>
            <w:gridSpan w:val="2"/>
            <w:shd w:val="clear" w:color="auto" w:fill="005051"/>
            <w:vAlign w:val="center"/>
          </w:tcPr>
          <w:p w14:paraId="375F14C7" w14:textId="77777777" w:rsidR="007F5E05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Indicadores de resultado</w:t>
            </w:r>
          </w:p>
        </w:tc>
      </w:tr>
      <w:tr w:rsidR="007F5E05" w:rsidRPr="00F60D12" w14:paraId="5293E527" w14:textId="77777777" w:rsidTr="00B54E1C">
        <w:trPr>
          <w:trHeight w:val="909"/>
        </w:trPr>
        <w:tc>
          <w:tcPr>
            <w:tcW w:w="1053" w:type="dxa"/>
            <w:vMerge w:val="restart"/>
            <w:vAlign w:val="center"/>
          </w:tcPr>
          <w:p w14:paraId="672332E9" w14:textId="77777777" w:rsidR="007F5E05" w:rsidRPr="00F60D12" w:rsidRDefault="007F5E05" w:rsidP="00A90D9C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Ciência, Tecnologia e Inovação</w:t>
            </w:r>
          </w:p>
        </w:tc>
        <w:tc>
          <w:tcPr>
            <w:tcW w:w="1782" w:type="dxa"/>
            <w:vAlign w:val="center"/>
          </w:tcPr>
          <w:p w14:paraId="4C64F18E" w14:textId="4269AC4D" w:rsidR="007F5E05" w:rsidRPr="00F60D12" w:rsidRDefault="00AB5D88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6.362.330.699</w:t>
            </w:r>
          </w:p>
        </w:tc>
        <w:tc>
          <w:tcPr>
            <w:tcW w:w="1418" w:type="dxa"/>
            <w:vAlign w:val="center"/>
          </w:tcPr>
          <w:p w14:paraId="5793B76A" w14:textId="77777777" w:rsidR="007F5E05" w:rsidRPr="00F60D12" w:rsidRDefault="007F5E05" w:rsidP="00B54E1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FNDCT (empréstimo à Finep)</w:t>
            </w:r>
          </w:p>
        </w:tc>
        <w:tc>
          <w:tcPr>
            <w:tcW w:w="1701" w:type="dxa"/>
            <w:vAlign w:val="center"/>
          </w:tcPr>
          <w:p w14:paraId="58F04DC0" w14:textId="23698BE5" w:rsidR="007F5E05" w:rsidRPr="00F60D12" w:rsidRDefault="00AB5D88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4.979.080.025</w:t>
            </w:r>
          </w:p>
        </w:tc>
        <w:tc>
          <w:tcPr>
            <w:tcW w:w="1701" w:type="dxa"/>
            <w:vAlign w:val="center"/>
          </w:tcPr>
          <w:p w14:paraId="15E39C57" w14:textId="42B9C506" w:rsidR="007F5E05" w:rsidRPr="00F60D12" w:rsidRDefault="00AB5D88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4.979.080.025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14:paraId="5BE0B40F" w14:textId="2835DD0E" w:rsidR="00975D12" w:rsidRPr="007A7899" w:rsidRDefault="007A7899" w:rsidP="007A7899">
            <w:pPr>
              <w:pStyle w:val="PargrafodaLista"/>
              <w:widowControl w:val="0"/>
              <w:numPr>
                <w:ilvl w:val="0"/>
                <w:numId w:val="25"/>
              </w:numPr>
              <w:suppressAutoHyphens/>
              <w:spacing w:after="60"/>
              <w:ind w:left="175" w:hanging="175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  <w:r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 xml:space="preserve">- </w:t>
            </w:r>
            <w:r w:rsidR="00975D12"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>Índice de Equidade Regional (Número de projetos e Valor financiado)</w:t>
            </w:r>
          </w:p>
          <w:p w14:paraId="57F1640F" w14:textId="73CA20D2" w:rsidR="007F5E05" w:rsidRPr="007A7899" w:rsidRDefault="007F5E05" w:rsidP="007A7899">
            <w:pPr>
              <w:pStyle w:val="PargrafodaLista"/>
              <w:widowControl w:val="0"/>
              <w:numPr>
                <w:ilvl w:val="0"/>
                <w:numId w:val="25"/>
              </w:numPr>
              <w:suppressAutoHyphens/>
              <w:spacing w:after="60"/>
              <w:ind w:left="175" w:hanging="175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  <w:r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>- Execução dos recursos não reembolsáveis do FNDCT</w:t>
            </w:r>
          </w:p>
          <w:p w14:paraId="629884F7" w14:textId="77777777" w:rsidR="007F5E05" w:rsidRPr="007A7899" w:rsidRDefault="007F5E05" w:rsidP="007A7899">
            <w:pPr>
              <w:pStyle w:val="PargrafodaLista"/>
              <w:widowControl w:val="0"/>
              <w:numPr>
                <w:ilvl w:val="0"/>
                <w:numId w:val="25"/>
              </w:numPr>
              <w:suppressAutoHyphens/>
              <w:spacing w:after="60"/>
              <w:ind w:left="175" w:hanging="175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  <w:r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>- Taxa de contratação de micro, pequenas e médias empresas</w:t>
            </w:r>
          </w:p>
          <w:p w14:paraId="0175BAFB" w14:textId="75AE38DA" w:rsidR="00975D12" w:rsidRPr="007A7899" w:rsidRDefault="00975D12" w:rsidP="007A7899">
            <w:pPr>
              <w:pStyle w:val="PargrafodaLista"/>
              <w:widowControl w:val="0"/>
              <w:numPr>
                <w:ilvl w:val="0"/>
                <w:numId w:val="25"/>
              </w:numPr>
              <w:suppressAutoHyphens/>
              <w:spacing w:after="60"/>
              <w:ind w:left="175" w:hanging="175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  <w:r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>Contratação de projetos nos temas estratégicos (Crédito direto / Não reembolsável a ICTs e Subvenção com recursos do FNDCT)</w:t>
            </w:r>
          </w:p>
          <w:p w14:paraId="05421107" w14:textId="465EFB23" w:rsidR="007F5E05" w:rsidRPr="007A7899" w:rsidRDefault="007F5E05" w:rsidP="007A7899">
            <w:pPr>
              <w:pStyle w:val="PargrafodaLista"/>
              <w:widowControl w:val="0"/>
              <w:numPr>
                <w:ilvl w:val="0"/>
                <w:numId w:val="25"/>
              </w:numPr>
              <w:suppressAutoHyphens/>
              <w:spacing w:after="60"/>
              <w:ind w:left="175" w:hanging="175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  <w:r w:rsidRPr="007A7899"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  <w:t>- Cobertura de despesas administrativas</w:t>
            </w:r>
          </w:p>
        </w:tc>
      </w:tr>
      <w:tr w:rsidR="007F5E05" w:rsidRPr="00F60D12" w14:paraId="4C4C1CC3" w14:textId="77777777" w:rsidTr="00B54E1C">
        <w:trPr>
          <w:trHeight w:val="909"/>
        </w:trPr>
        <w:tc>
          <w:tcPr>
            <w:tcW w:w="1053" w:type="dxa"/>
            <w:vMerge/>
            <w:vAlign w:val="center"/>
          </w:tcPr>
          <w:p w14:paraId="0ECAD812" w14:textId="77777777" w:rsidR="007F5E05" w:rsidRDefault="007F5E05" w:rsidP="00A90D9C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 w14:paraId="16CFE848" w14:textId="13688F6D" w:rsidR="007F5E05" w:rsidRDefault="00AB5D88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6.364.330.699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0EDF68" w14:textId="77777777" w:rsidR="007F5E05" w:rsidRDefault="007F5E05" w:rsidP="00B54E1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FNDCT não reembolsável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9D7D08" w14:textId="34E3D7AD" w:rsidR="007F5E05" w:rsidRDefault="00AB5D88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4.979.080.026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D29D76" w14:textId="029F36AF" w:rsidR="007F5E05" w:rsidRPr="00F86E05" w:rsidRDefault="00AB5D88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  <w:r w:rsidRPr="00AB5D88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4.979.080.017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10EF6D98" w14:textId="77777777" w:rsidR="007F5E05" w:rsidRPr="00241298" w:rsidRDefault="007F5E05" w:rsidP="00A90D9C">
            <w:pPr>
              <w:widowControl w:val="0"/>
              <w:suppressAutoHyphens/>
              <w:spacing w:after="60"/>
              <w:rPr>
                <w:rFonts w:ascii="Tahoma" w:eastAsia="SimSun" w:hAnsi="Tahoma" w:cs="Tahoma"/>
                <w:kern w:val="3"/>
                <w:sz w:val="19"/>
                <w:szCs w:val="19"/>
                <w:lang w:bidi="hi-IN"/>
              </w:rPr>
            </w:pPr>
          </w:p>
        </w:tc>
      </w:tr>
      <w:tr w:rsidR="00B80E4F" w:rsidRPr="00F60D12" w14:paraId="6BAA74B3" w14:textId="77777777" w:rsidTr="00B54E1C">
        <w:trPr>
          <w:trHeight w:val="909"/>
        </w:trPr>
        <w:tc>
          <w:tcPr>
            <w:tcW w:w="1053" w:type="dxa"/>
            <w:vMerge/>
            <w:vAlign w:val="center"/>
          </w:tcPr>
          <w:p w14:paraId="1EF835B1" w14:textId="77777777" w:rsidR="00B80E4F" w:rsidRPr="00F60D12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vAlign w:val="center"/>
          </w:tcPr>
          <w:p w14:paraId="33307A67" w14:textId="58A85296" w:rsidR="00B80E4F" w:rsidRPr="00931652" w:rsidRDefault="00B80E4F" w:rsidP="00B80E4F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highlight w:val="yellow"/>
                <w:lang w:bidi="hi-IN"/>
              </w:rPr>
            </w:pPr>
            <w:r w:rsidRPr="002356D3">
              <w:rPr>
                <w:rStyle w:val="ui-provider"/>
                <w:rFonts w:ascii="Tahoma" w:hAnsi="Tahoma" w:cs="Tahoma"/>
                <w:sz w:val="18"/>
                <w:szCs w:val="18"/>
              </w:rPr>
              <w:t>158.000.000</w:t>
            </w:r>
          </w:p>
        </w:tc>
        <w:tc>
          <w:tcPr>
            <w:tcW w:w="1418" w:type="dxa"/>
            <w:vAlign w:val="center"/>
          </w:tcPr>
          <w:p w14:paraId="65D4969C" w14:textId="45304802" w:rsidR="00B80E4F" w:rsidRPr="00931652" w:rsidRDefault="00B80E4F" w:rsidP="00B54E1C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highlight w:val="yellow"/>
                <w:lang w:bidi="hi-IN"/>
              </w:rPr>
            </w:pPr>
            <w:r w:rsidRPr="00D96470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Funttel (empréstimo à Finep)</w:t>
            </w:r>
          </w:p>
        </w:tc>
        <w:tc>
          <w:tcPr>
            <w:tcW w:w="1701" w:type="dxa"/>
            <w:vAlign w:val="center"/>
          </w:tcPr>
          <w:p w14:paraId="27A2CCAB" w14:textId="10229EEF" w:rsidR="00B80E4F" w:rsidRPr="00931652" w:rsidRDefault="00B80E4F" w:rsidP="00B80E4F">
            <w:pPr>
              <w:widowControl w:val="0"/>
              <w:suppressAutoHyphens/>
              <w:jc w:val="center"/>
              <w:rPr>
                <w:rFonts w:ascii="Tahoma" w:eastAsia="SimSun" w:hAnsi="Tahoma" w:cs="Tahoma"/>
                <w:kern w:val="3"/>
                <w:sz w:val="18"/>
                <w:szCs w:val="18"/>
                <w:highlight w:val="yellow"/>
                <w:lang w:bidi="hi-IN"/>
              </w:rPr>
            </w:pPr>
            <w:r w:rsidRPr="00D96470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111.788.529</w:t>
            </w:r>
          </w:p>
        </w:tc>
        <w:tc>
          <w:tcPr>
            <w:tcW w:w="1701" w:type="dxa"/>
            <w:vAlign w:val="center"/>
          </w:tcPr>
          <w:p w14:paraId="2B928879" w14:textId="4994CF9F" w:rsidR="00B80E4F" w:rsidRPr="00931652" w:rsidRDefault="00B80E4F" w:rsidP="00B80E4F">
            <w:pPr>
              <w:widowControl w:val="0"/>
              <w:suppressAutoHyphens/>
              <w:jc w:val="right"/>
              <w:rPr>
                <w:rFonts w:ascii="Tahoma" w:eastAsia="SimSun" w:hAnsi="Tahoma" w:cs="Tahoma"/>
                <w:kern w:val="3"/>
                <w:sz w:val="18"/>
                <w:szCs w:val="18"/>
                <w:highlight w:val="yellow"/>
                <w:lang w:bidi="hi-IN"/>
              </w:rPr>
            </w:pPr>
            <w:r w:rsidRPr="00CF16E1"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  <w:t>111.788.529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2F8A6752" w14:textId="77777777" w:rsidR="00B80E4F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B80E4F" w:rsidRPr="00F60D12" w14:paraId="7741D837" w14:textId="77777777" w:rsidTr="00B54E1C">
        <w:trPr>
          <w:trHeight w:val="909"/>
        </w:trPr>
        <w:tc>
          <w:tcPr>
            <w:tcW w:w="1053" w:type="dxa"/>
            <w:vMerge/>
            <w:vAlign w:val="center"/>
          </w:tcPr>
          <w:p w14:paraId="054BF4E9" w14:textId="77777777" w:rsidR="00B80E4F" w:rsidRPr="00F60D12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 w14:paraId="4DFF481D" w14:textId="7CB70255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  <w:rFonts w:ascii="Tahoma" w:hAnsi="Tahoma" w:cs="Tahoma"/>
                <w:sz w:val="18"/>
                <w:szCs w:val="18"/>
              </w:rPr>
            </w:pPr>
            <w:r w:rsidRPr="00B80E4F">
              <w:rPr>
                <w:rStyle w:val="ui-provider"/>
                <w:rFonts w:ascii="Tahoma" w:hAnsi="Tahoma" w:cs="Tahoma"/>
                <w:sz w:val="18"/>
                <w:szCs w:val="18"/>
              </w:rPr>
              <w:t>12.045.523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7E6696" w14:textId="4CB3462A" w:rsidR="00B80E4F" w:rsidRPr="00E13941" w:rsidRDefault="00B80E4F" w:rsidP="00E13941">
            <w:pPr>
              <w:widowControl w:val="0"/>
              <w:suppressAutoHyphens/>
              <w:jc w:val="center"/>
              <w:rPr>
                <w:rStyle w:val="ui-provider"/>
                <w:rFonts w:ascii="Tahoma" w:hAnsi="Tahoma" w:cs="Tahoma"/>
                <w:sz w:val="18"/>
                <w:szCs w:val="18"/>
              </w:rPr>
            </w:pPr>
            <w:r w:rsidRPr="00B80E4F">
              <w:rPr>
                <w:rStyle w:val="ui-provider"/>
                <w:rFonts w:ascii="Tahoma" w:hAnsi="Tahoma" w:cs="Tahoma"/>
                <w:sz w:val="18"/>
                <w:szCs w:val="18"/>
              </w:rPr>
              <w:t>FUNTTEL não reembolsável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327177" w14:textId="16CA8E0F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  <w:rFonts w:ascii="Tahoma" w:hAnsi="Tahoma" w:cs="Tahoma"/>
                <w:sz w:val="18"/>
                <w:szCs w:val="18"/>
              </w:rPr>
            </w:pPr>
            <w:r w:rsidRPr="00B80E4F">
              <w:rPr>
                <w:rStyle w:val="ui-provider"/>
                <w:rFonts w:ascii="Tahoma" w:hAnsi="Tahoma" w:cs="Tahoma"/>
                <w:sz w:val="18"/>
                <w:szCs w:val="18"/>
              </w:rPr>
              <w:t>18.221.590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37CE6D" w14:textId="0905224D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  <w:rFonts w:ascii="Tahoma" w:hAnsi="Tahoma" w:cs="Tahoma"/>
                <w:sz w:val="18"/>
                <w:szCs w:val="18"/>
              </w:rPr>
            </w:pPr>
            <w:r w:rsidRPr="00B80E4F">
              <w:rPr>
                <w:rStyle w:val="ui-provider"/>
                <w:rFonts w:ascii="Tahoma" w:hAnsi="Tahoma" w:cs="Tahoma"/>
                <w:sz w:val="18"/>
                <w:szCs w:val="18"/>
              </w:rPr>
              <w:t>18.221.541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4EF71087" w14:textId="77777777" w:rsidR="00B80E4F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B80E4F" w:rsidRPr="00F60D12" w14:paraId="3E1C161E" w14:textId="77777777" w:rsidTr="00B54E1C">
        <w:trPr>
          <w:trHeight w:val="910"/>
        </w:trPr>
        <w:tc>
          <w:tcPr>
            <w:tcW w:w="1053" w:type="dxa"/>
            <w:vMerge/>
            <w:vAlign w:val="center"/>
          </w:tcPr>
          <w:p w14:paraId="3410B9A1" w14:textId="77777777" w:rsidR="00B80E4F" w:rsidRPr="00F60D12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vAlign w:val="center"/>
          </w:tcPr>
          <w:p w14:paraId="00AE34E0" w14:textId="1BB79F32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1418" w:type="dxa"/>
            <w:vAlign w:val="center"/>
          </w:tcPr>
          <w:p w14:paraId="362F319E" w14:textId="69385C3E" w:rsidR="00B80E4F" w:rsidRPr="00E13941" w:rsidRDefault="00B80E4F" w:rsidP="00E13941">
            <w:pPr>
              <w:widowControl w:val="0"/>
              <w:suppressAutoHyphens/>
              <w:jc w:val="center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ANP</w:t>
            </w:r>
          </w:p>
        </w:tc>
        <w:tc>
          <w:tcPr>
            <w:tcW w:w="1701" w:type="dxa"/>
            <w:vAlign w:val="center"/>
          </w:tcPr>
          <w:p w14:paraId="4B8F55BD" w14:textId="1C2AE91C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21.750.738</w:t>
            </w:r>
          </w:p>
        </w:tc>
        <w:tc>
          <w:tcPr>
            <w:tcW w:w="1701" w:type="dxa"/>
            <w:vAlign w:val="center"/>
          </w:tcPr>
          <w:p w14:paraId="54D902B5" w14:textId="17B474AF" w:rsidR="00B80E4F" w:rsidRPr="00E13941" w:rsidRDefault="00B80E4F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157.997.156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2449CBCC" w14:textId="77777777" w:rsidR="00B80E4F" w:rsidRDefault="00B80E4F" w:rsidP="00B80E4F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E13941" w:rsidRPr="00F60D12" w14:paraId="04FAE7B8" w14:textId="77777777" w:rsidTr="00B54E1C">
        <w:trPr>
          <w:trHeight w:val="909"/>
        </w:trPr>
        <w:tc>
          <w:tcPr>
            <w:tcW w:w="1053" w:type="dxa"/>
            <w:vMerge/>
            <w:vAlign w:val="center"/>
          </w:tcPr>
          <w:p w14:paraId="568961E7" w14:textId="77777777" w:rsidR="00E13941" w:rsidRPr="00F60D12" w:rsidRDefault="00E13941" w:rsidP="00E13941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vAlign w:val="center"/>
          </w:tcPr>
          <w:p w14:paraId="6F7DAF0F" w14:textId="65B012DE" w:rsidR="00E13941" w:rsidRPr="00E13941" w:rsidRDefault="00E13941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20.000.000</w:t>
            </w:r>
          </w:p>
        </w:tc>
        <w:tc>
          <w:tcPr>
            <w:tcW w:w="1418" w:type="dxa"/>
            <w:vAlign w:val="center"/>
          </w:tcPr>
          <w:p w14:paraId="43B1D1FA" w14:textId="1B54761A" w:rsidR="00E13941" w:rsidRPr="00E13941" w:rsidRDefault="00E13941" w:rsidP="00E13941">
            <w:pPr>
              <w:widowControl w:val="0"/>
              <w:suppressAutoHyphens/>
              <w:jc w:val="center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Rota 2030</w:t>
            </w:r>
          </w:p>
        </w:tc>
        <w:tc>
          <w:tcPr>
            <w:tcW w:w="1701" w:type="dxa"/>
            <w:vAlign w:val="center"/>
          </w:tcPr>
          <w:p w14:paraId="17D14382" w14:textId="4515C0CA" w:rsidR="00E13941" w:rsidRPr="00E13941" w:rsidRDefault="00E13941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68.071.092</w:t>
            </w:r>
          </w:p>
        </w:tc>
        <w:tc>
          <w:tcPr>
            <w:tcW w:w="1701" w:type="dxa"/>
            <w:vAlign w:val="center"/>
          </w:tcPr>
          <w:p w14:paraId="521783FA" w14:textId="6CC30429" w:rsidR="00E13941" w:rsidRPr="00E13941" w:rsidRDefault="00E13941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58.454.896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6B2EFF09" w14:textId="77777777" w:rsidR="00E13941" w:rsidRDefault="00E13941" w:rsidP="00E13941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7F5E05" w:rsidRPr="00F60D12" w14:paraId="1F466ED6" w14:textId="77777777" w:rsidTr="00B54E1C">
        <w:trPr>
          <w:trHeight w:val="909"/>
        </w:trPr>
        <w:tc>
          <w:tcPr>
            <w:tcW w:w="1053" w:type="dxa"/>
            <w:vMerge/>
            <w:vAlign w:val="center"/>
          </w:tcPr>
          <w:p w14:paraId="28984374" w14:textId="77777777" w:rsidR="007F5E05" w:rsidRPr="00F60D12" w:rsidRDefault="007F5E05" w:rsidP="00A90D9C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 w14:paraId="74608929" w14:textId="75A4AEBB" w:rsidR="007F5E05" w:rsidRPr="00E13941" w:rsidRDefault="00AB5D88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</w:rPr>
              <w:t>20.769.350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7AE9CC" w14:textId="726AB51D" w:rsidR="007F5E05" w:rsidRPr="00E13941" w:rsidRDefault="007F5E05" w:rsidP="00E13941">
            <w:pPr>
              <w:widowControl w:val="0"/>
              <w:suppressAutoHyphens/>
              <w:jc w:val="center"/>
              <w:rPr>
                <w:rStyle w:val="ui-provider"/>
              </w:rPr>
            </w:pPr>
            <w:r w:rsidRPr="00E13941">
              <w:rPr>
                <w:rStyle w:val="ui-provider"/>
              </w:rPr>
              <w:t>FNS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681359" w14:textId="1B60FA30" w:rsidR="007F5E05" w:rsidRPr="00E13941" w:rsidRDefault="00931652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</w:rPr>
              <w:t>32.881.571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BB07D0" w14:textId="677A6B3F" w:rsidR="007F5E05" w:rsidRPr="00E13941" w:rsidRDefault="00931652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</w:rPr>
              <w:t>11.386.090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6D277F2A" w14:textId="77777777" w:rsidR="007F5E05" w:rsidRDefault="007F5E05" w:rsidP="00A90D9C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E13941" w:rsidRPr="00F60D12" w14:paraId="3F1C07B4" w14:textId="77777777" w:rsidTr="00B54E1C">
        <w:trPr>
          <w:trHeight w:val="910"/>
        </w:trPr>
        <w:tc>
          <w:tcPr>
            <w:tcW w:w="1053" w:type="dxa"/>
            <w:vMerge/>
            <w:vAlign w:val="center"/>
          </w:tcPr>
          <w:p w14:paraId="6C16D5E4" w14:textId="77777777" w:rsidR="00E13941" w:rsidRPr="00F60D12" w:rsidRDefault="00E13941" w:rsidP="00E13941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82" w:type="dxa"/>
            <w:vAlign w:val="center"/>
          </w:tcPr>
          <w:p w14:paraId="431876FA" w14:textId="30E52075" w:rsidR="00E13941" w:rsidRPr="00E13941" w:rsidRDefault="00B3738B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>
              <w:rPr>
                <w:rStyle w:val="ui-provider"/>
                <w:rFonts w:ascii="Tahoma" w:hAnsi="Tahoma" w:cs="Tahoma"/>
                <w:sz w:val="18"/>
                <w:szCs w:val="18"/>
              </w:rPr>
              <w:t>349.319.537</w:t>
            </w:r>
          </w:p>
        </w:tc>
        <w:tc>
          <w:tcPr>
            <w:tcW w:w="1418" w:type="dxa"/>
            <w:vAlign w:val="center"/>
          </w:tcPr>
          <w:p w14:paraId="1C9924EC" w14:textId="071D4895" w:rsidR="00E13941" w:rsidRPr="00E13941" w:rsidRDefault="00E13941" w:rsidP="00B54E1C">
            <w:pPr>
              <w:widowControl w:val="0"/>
              <w:suppressAutoHyphens/>
              <w:jc w:val="center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Recursos próprios</w:t>
            </w:r>
          </w:p>
        </w:tc>
        <w:tc>
          <w:tcPr>
            <w:tcW w:w="1701" w:type="dxa"/>
            <w:vAlign w:val="center"/>
          </w:tcPr>
          <w:p w14:paraId="3A2A2BE1" w14:textId="161B7E56" w:rsidR="00E13941" w:rsidRPr="00E13941" w:rsidRDefault="00E13941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73.900.000</w:t>
            </w:r>
          </w:p>
        </w:tc>
        <w:tc>
          <w:tcPr>
            <w:tcW w:w="1701" w:type="dxa"/>
            <w:vAlign w:val="center"/>
          </w:tcPr>
          <w:p w14:paraId="7EE22EC7" w14:textId="6BEBD2A4" w:rsidR="00E13941" w:rsidRPr="00E13941" w:rsidRDefault="00E13941" w:rsidP="00E13941">
            <w:pPr>
              <w:widowControl w:val="0"/>
              <w:suppressAutoHyphens/>
              <w:jc w:val="right"/>
              <w:rPr>
                <w:rStyle w:val="ui-provider"/>
              </w:rPr>
            </w:pPr>
            <w:r w:rsidRPr="00E13941">
              <w:rPr>
                <w:rStyle w:val="ui-provider"/>
                <w:rFonts w:ascii="Tahoma" w:hAnsi="Tahoma" w:cs="Tahoma"/>
                <w:sz w:val="18"/>
                <w:szCs w:val="18"/>
              </w:rPr>
              <w:t>358.692.828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4629728B" w14:textId="77777777" w:rsidR="00E13941" w:rsidRPr="00FD2F5D" w:rsidRDefault="00E13941" w:rsidP="00E13941">
            <w:pPr>
              <w:widowControl w:val="0"/>
              <w:suppressAutoHyphens/>
              <w:rPr>
                <w:rFonts w:ascii="Tahoma" w:eastAsia="SimSun" w:hAnsi="Tahoma" w:cs="Tahoma"/>
                <w:kern w:val="3"/>
                <w:sz w:val="18"/>
                <w:szCs w:val="18"/>
                <w:lang w:bidi="hi-IN"/>
              </w:rPr>
            </w:pPr>
          </w:p>
        </w:tc>
      </w:tr>
      <w:tr w:rsidR="007F5E05" w:rsidRPr="0087688D" w14:paraId="0C28C189" w14:textId="77777777" w:rsidTr="00B54E1C">
        <w:trPr>
          <w:gridAfter w:val="1"/>
          <w:wAfter w:w="142" w:type="dxa"/>
          <w:trHeight w:val="454"/>
        </w:trPr>
        <w:tc>
          <w:tcPr>
            <w:tcW w:w="1053" w:type="dxa"/>
            <w:shd w:val="clear" w:color="auto" w:fill="auto"/>
            <w:vAlign w:val="center"/>
          </w:tcPr>
          <w:p w14:paraId="316049A0" w14:textId="77777777" w:rsidR="007F5E05" w:rsidRPr="0087688D" w:rsidRDefault="007F5E05" w:rsidP="00A90D9C">
            <w:pPr>
              <w:widowControl w:val="0"/>
              <w:suppressAutoHyphens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  <w:r w:rsidRPr="0087688D"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55F552AB" w14:textId="365A204B" w:rsidR="007F5E05" w:rsidRPr="00B54E1C" w:rsidRDefault="00B54E1C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  <w:r w:rsidRPr="00B54E1C"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  <w:t>13.286.795.808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715844" w14:textId="77777777" w:rsidR="007F5E05" w:rsidRPr="00B54E1C" w:rsidRDefault="007F5E05" w:rsidP="00A90D9C">
            <w:pPr>
              <w:widowControl w:val="0"/>
              <w:suppressAutoHyphens/>
              <w:jc w:val="center"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A5402FD" w14:textId="636CFE67" w:rsidR="007F5E05" w:rsidRPr="00B54E1C" w:rsidRDefault="00B54E1C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  <w:r w:rsidRPr="00B54E1C"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  <w:t>10.284.773.571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039F65" w14:textId="3F183CFC" w:rsidR="007F5E05" w:rsidRPr="00B54E1C" w:rsidRDefault="00B54E1C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  <w:r w:rsidRPr="00B54E1C"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  <w:t>10.674.701.082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06A65B" w14:textId="77777777" w:rsidR="007F5E05" w:rsidRPr="0087688D" w:rsidRDefault="007F5E05" w:rsidP="00A90D9C">
            <w:pPr>
              <w:widowControl w:val="0"/>
              <w:suppressAutoHyphens/>
              <w:jc w:val="right"/>
              <w:rPr>
                <w:rFonts w:ascii="Tahoma" w:eastAsia="SimSun" w:hAnsi="Tahoma" w:cs="Tahoma"/>
                <w:b/>
                <w:bCs/>
                <w:kern w:val="3"/>
                <w:sz w:val="18"/>
                <w:szCs w:val="18"/>
                <w:lang w:bidi="hi-IN"/>
              </w:rPr>
            </w:pPr>
          </w:p>
        </w:tc>
      </w:tr>
    </w:tbl>
    <w:p w14:paraId="12955B65" w14:textId="0AC33AE5" w:rsidR="007F5E05" w:rsidRDefault="007F5E05" w:rsidP="007F5E05">
      <w:pPr>
        <w:pStyle w:val="PargrafodaLista"/>
        <w:widowControl w:val="0"/>
        <w:suppressAutoHyphens/>
        <w:autoSpaceDN w:val="0"/>
        <w:spacing w:before="120" w:after="120" w:line="240" w:lineRule="auto"/>
        <w:ind w:left="142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8"/>
          <w:szCs w:val="18"/>
          <w:lang w:bidi="hi-IN"/>
        </w:rPr>
        <w:t>Fontes: Área de Gestão Financeira (AGEF/Finep)</w:t>
      </w:r>
      <w:r w:rsidR="008C38D7">
        <w:rPr>
          <w:rFonts w:ascii="Tahoma" w:eastAsia="SimSun" w:hAnsi="Tahoma" w:cs="Tahoma"/>
          <w:kern w:val="3"/>
          <w:sz w:val="18"/>
          <w:szCs w:val="18"/>
          <w:lang w:bidi="hi-IN"/>
        </w:rPr>
        <w:t xml:space="preserve">, </w:t>
      </w:r>
      <w:r w:rsidR="008C38D7" w:rsidRPr="008C38D7">
        <w:rPr>
          <w:rFonts w:ascii="Tahoma" w:eastAsia="SimSun" w:hAnsi="Tahoma" w:cs="Tahoma"/>
          <w:kern w:val="3"/>
          <w:sz w:val="18"/>
          <w:szCs w:val="18"/>
          <w:lang w:bidi="hi-IN"/>
        </w:rPr>
        <w:t>Área da Controle Orçamentário e Financeiro do FNDCT (ACOF)</w:t>
      </w:r>
      <w:r>
        <w:rPr>
          <w:rFonts w:ascii="Tahoma" w:eastAsia="SimSun" w:hAnsi="Tahoma" w:cs="Tahoma"/>
          <w:kern w:val="3"/>
          <w:sz w:val="18"/>
          <w:szCs w:val="18"/>
          <w:lang w:bidi="hi-IN"/>
        </w:rPr>
        <w:t xml:space="preserve"> e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Estratégia de Longo Prazo e Plano de Negócios da Finep (ELPPN 2</w:t>
      </w:r>
      <w:r w:rsidR="008C38D7">
        <w:rPr>
          <w:rFonts w:ascii="Tahoma" w:eastAsia="SimSun" w:hAnsi="Tahoma" w:cs="Tahoma"/>
          <w:kern w:val="3"/>
          <w:sz w:val="19"/>
          <w:szCs w:val="19"/>
          <w:lang w:bidi="hi-IN"/>
        </w:rPr>
        <w:t>02</w:t>
      </w:r>
      <w:r w:rsidR="00931652">
        <w:rPr>
          <w:rFonts w:ascii="Tahoma" w:eastAsia="SimSun" w:hAnsi="Tahoma" w:cs="Tahoma"/>
          <w:kern w:val="3"/>
          <w:sz w:val="19"/>
          <w:szCs w:val="19"/>
          <w:lang w:bidi="hi-IN"/>
        </w:rPr>
        <w:t>4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)</w:t>
      </w:r>
    </w:p>
    <w:p w14:paraId="7771DDA9" w14:textId="77777777" w:rsidR="000C7E53" w:rsidRDefault="000C7E53" w:rsidP="007F5E05">
      <w:pPr>
        <w:pStyle w:val="PargrafodaLista"/>
        <w:widowControl w:val="0"/>
        <w:suppressAutoHyphens/>
        <w:autoSpaceDN w:val="0"/>
        <w:spacing w:before="120" w:after="120" w:line="240" w:lineRule="auto"/>
        <w:ind w:left="142"/>
        <w:jc w:val="both"/>
        <w:textAlignment w:val="baseline"/>
        <w:rPr>
          <w:rFonts w:ascii="Tahoma" w:eastAsia="SimSun" w:hAnsi="Tahoma" w:cs="Tahoma"/>
          <w:kern w:val="3"/>
          <w:sz w:val="18"/>
          <w:szCs w:val="18"/>
          <w:lang w:bidi="hi-IN"/>
        </w:rPr>
      </w:pPr>
    </w:p>
    <w:p w14:paraId="06DFF521" w14:textId="77777777" w:rsidR="007F5E05" w:rsidRPr="000C7E53" w:rsidRDefault="007F5E05" w:rsidP="007F5E05">
      <w:pPr>
        <w:pStyle w:val="PargrafodaLista"/>
        <w:widowControl w:val="0"/>
        <w:suppressAutoHyphens/>
        <w:autoSpaceDN w:val="0"/>
        <w:spacing w:before="120" w:after="120" w:line="240" w:lineRule="auto"/>
        <w:ind w:left="142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Notas:</w:t>
      </w:r>
    </w:p>
    <w:p w14:paraId="088608A2" w14:textId="1FC409B7" w:rsidR="007F5E05" w:rsidRPr="000C7E53" w:rsidRDefault="007F5E05" w:rsidP="007F5E05">
      <w:pPr>
        <w:pStyle w:val="PargrafodaLista"/>
        <w:widowControl w:val="0"/>
        <w:numPr>
          <w:ilvl w:val="0"/>
          <w:numId w:val="23"/>
        </w:numPr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projetos apoiados pela Finep são plurianuais. Dessa forma, </w:t>
      </w:r>
      <w:r w:rsidR="0093165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recursos </w:t>
      </w:r>
      <w:r w:rsidR="0093165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empregados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em 202</w:t>
      </w:r>
      <w:r w:rsidR="0093165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podem </w:t>
      </w:r>
      <w:r w:rsidR="00A2276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ter sido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destinad</w:t>
      </w:r>
      <w:r w:rsidR="0093165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o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s a projetos contratados em exercícios anteriores.</w:t>
      </w:r>
    </w:p>
    <w:p w14:paraId="1905E567" w14:textId="59BF9C03" w:rsidR="007F5E05" w:rsidRPr="000C7E53" w:rsidRDefault="007F5E05" w:rsidP="007F5E05">
      <w:pPr>
        <w:pStyle w:val="PargrafodaLista"/>
        <w:widowControl w:val="0"/>
        <w:numPr>
          <w:ilvl w:val="0"/>
          <w:numId w:val="23"/>
        </w:numPr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O valor referente ao FNDCT não reembolsável é composto pelos recursos operados pela Finep</w:t>
      </w:r>
      <w:r w:rsidR="0053293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(para financiamento não reembolsável a ICTs, subvenção econômica a empresas, equalização de juros, investimento em FIPs não exclusivos) e</w:t>
      </w:r>
      <w:r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por recursos transferidos ao MCTI e ao CNPq.</w:t>
      </w:r>
      <w:r w:rsidR="00602674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Em 2023 foram transferidos R$ 1.244.084.260 ao MCTI para o apoio a programas desenvolvidos por organizações sociais que mantêm contrato de gestão com o Ministério e R$ 937.309.98</w:t>
      </w:r>
      <w:r w:rsidR="0053293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4</w:t>
      </w:r>
      <w:r w:rsidR="00602674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para </w:t>
      </w:r>
      <w:r w:rsidR="00C4216E">
        <w:rPr>
          <w:rFonts w:ascii="Tahoma" w:eastAsia="SimSun" w:hAnsi="Tahoma" w:cs="Tahoma"/>
          <w:kern w:val="3"/>
          <w:sz w:val="19"/>
          <w:szCs w:val="19"/>
          <w:lang w:bidi="hi-IN"/>
        </w:rPr>
        <w:t>ações d</w:t>
      </w:r>
      <w:r w:rsidR="00602674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o Conselho Nacional de Desenvolvimento Científico e Tecnológico (CNPq).</w:t>
      </w:r>
      <w:r w:rsidR="00532932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O valor total inclui o ressarcimento de despesas operacionais </w:t>
      </w:r>
      <w:r w:rsidR="00230020" w:rsidRPr="000C7E53">
        <w:rPr>
          <w:rFonts w:ascii="Tahoma" w:eastAsia="SimSun" w:hAnsi="Tahoma" w:cs="Tahoma"/>
          <w:kern w:val="3"/>
          <w:sz w:val="19"/>
          <w:szCs w:val="19"/>
          <w:lang w:bidi="hi-IN"/>
        </w:rPr>
        <w:t>e a taxa de administração.</w:t>
      </w:r>
    </w:p>
    <w:p w14:paraId="56C5FC9C" w14:textId="77777777" w:rsidR="00B43B98" w:rsidRDefault="00B43B98" w:rsidP="007F5E05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302CCA9" w14:textId="753870FC" w:rsidR="00A22762" w:rsidRPr="00A22762" w:rsidRDefault="00A22762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Finep utilizará recursos próprios para </w:t>
      </w:r>
      <w:r w:rsidR="0057254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concessão de financiamentos, </w:t>
      </w: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>a continuidade do Programa Finep Startup, a implementação do novo programa de aceleração de startups com perfil para investimento, dentre outras iniciativas, como a participação em fundos de investimentos (FIP Inova Empresa e FIP Finep Startup 1) que tenham por objetivo fortalecer empresas inovadoras, com o objetivo maior da consecução da política pública de CT&amp;I.</w:t>
      </w:r>
    </w:p>
    <w:p w14:paraId="139B9E0B" w14:textId="77777777" w:rsidR="00A22762" w:rsidRPr="00A22762" w:rsidRDefault="00A22762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>Nesse sentido, espera-se desembolsar, em 2024, cerca de R$ 5 milhões do Programa Finep Startup, com o objetivo de apoiar empresas inovadoras, com alto potencial de crescimento e retorno, que trabalham em condições de incerteza e que possuem modelos de negócios repetíveis e escaláveis, capazes de resolver um problema real.</w:t>
      </w:r>
    </w:p>
    <w:p w14:paraId="3B045AC5" w14:textId="77777777" w:rsidR="00A22762" w:rsidRDefault="00A22762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Além dos programas mencionados, o FIP Inova Empresa, que tem por objetivo investir em sociedades empresárias inovadoras, de acordo com a Política de Investimento da Finep, e o FIP Finep Startup 1, esperam fazer integralizações no valor total de cerca de R$ 107 milhões, em 2024. O FIP Finep Startup 1 vem recebendo ativos (startups) provenientes do Programa Finep Startup como forma de integralização no Fundo, portanto sem utilizar recursos próprios por enquanto. Entretanto, há a possibilidade de algumas startups receberem recursos de </w:t>
      </w:r>
      <w:r w:rsidRPr="00B3738B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follow-on</w:t>
      </w: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>, que podem somar até R$ 10 milhões, já considerados no valor total citado anteriormente.</w:t>
      </w:r>
    </w:p>
    <w:p w14:paraId="7FB5959B" w14:textId="77777777" w:rsidR="00A22762" w:rsidRPr="00A22762" w:rsidRDefault="00A22762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Um</w:t>
      </w: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novo programa de aceleração está em desenvolvimento e tem lançamento previsto para 2024, não implicando em desembolsos neste ano.</w:t>
      </w:r>
    </w:p>
    <w:p w14:paraId="584D38C4" w14:textId="77777777" w:rsidR="00A22762" w:rsidRDefault="00A22762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>Por fim, é importante ressaltar que, em 2024, a Finep permanecerá utilizando recursos próprios para fazer frente ao seu custo operacional, sem necessidade de aportes do Tesouro Nacional ou captação junto a outras fontes para esse fim.</w:t>
      </w:r>
    </w:p>
    <w:p w14:paraId="6173DF59" w14:textId="1ABE0ADD" w:rsidR="00A22762" w:rsidRDefault="00A22762" w:rsidP="00356ED1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lastRenderedPageBreak/>
        <w:t>Informações sobre o d</w:t>
      </w:r>
      <w:r w:rsidRPr="00A22762">
        <w:rPr>
          <w:rFonts w:ascii="Tahoma" w:eastAsia="SimSun" w:hAnsi="Tahoma" w:cs="Tahoma"/>
          <w:kern w:val="3"/>
          <w:sz w:val="19"/>
          <w:szCs w:val="19"/>
          <w:lang w:bidi="hi-IN"/>
        </w:rPr>
        <w:t>esempenho operacional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da Finep em 2023 podem ser encontradas na seção ‘</w:t>
      </w:r>
      <w:r w:rsidR="00356ED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Finep em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Números’ do Relatório Anual Integrado da Finep</w:t>
      </w:r>
      <w:r w:rsidR="00356ED1">
        <w:rPr>
          <w:rFonts w:ascii="Tahoma" w:eastAsia="SimSun" w:hAnsi="Tahoma" w:cs="Tahoma"/>
          <w:kern w:val="3"/>
          <w:sz w:val="19"/>
          <w:szCs w:val="19"/>
          <w:lang w:bidi="hi-IN"/>
        </w:rPr>
        <w:t>,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que cumpre o papel de Relatório de Gestão da empresa</w:t>
      </w:r>
      <w:r w:rsidR="00356ED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disponível em </w:t>
      </w:r>
      <w:hyperlink r:id="rId30" w:history="1">
        <w:r w:rsidR="00356ED1"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http://www.finep.gov.br/transparencia-finep/relatorios-do-fndct/relato-integrado</w:t>
        </w:r>
      </w:hyperlink>
      <w:r w:rsidR="00356ED1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30BC304C" w14:textId="446B3BA9" w:rsidR="00356ED1" w:rsidRDefault="00356ED1" w:rsidP="00356ED1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356ED1">
        <w:rPr>
          <w:rFonts w:ascii="Tahoma" w:eastAsia="SimSun" w:hAnsi="Tahoma" w:cs="Tahoma"/>
          <w:kern w:val="3"/>
          <w:sz w:val="19"/>
          <w:szCs w:val="19"/>
          <w:lang w:bidi="hi-IN"/>
        </w:rPr>
        <w:t>Informação sobre o desempenho econômico-financeiro da Finep em 202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 w:rsidRPr="00356ED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pode ser acessada no Relatório da Administração 202</w:t>
      </w:r>
      <w:r w:rsidR="006F05A3"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 w:rsidRPr="00356ED1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publicado junto ao Balanço da Finep no endereço </w:t>
      </w:r>
      <w:hyperlink r:id="rId31" w:history="1">
        <w:r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http://www.finep.gov.br/transparencia-finep/balanco-finep</w:t>
        </w:r>
      </w:hyperlink>
      <w:r w:rsidRPr="00356ED1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5C869D39" w14:textId="77777777" w:rsidR="00356ED1" w:rsidRDefault="00356ED1" w:rsidP="00A2276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7D7E3A57" w14:textId="5EB18EA1" w:rsidR="007F5E05" w:rsidRPr="00356ED1" w:rsidRDefault="007F5E05" w:rsidP="007F5E05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color w:val="DD4F0B"/>
          <w:kern w:val="3"/>
          <w:sz w:val="20"/>
          <w:szCs w:val="20"/>
          <w:lang w:bidi="hi-IN"/>
        </w:rPr>
      </w:pPr>
      <w:r w:rsidRPr="00356ED1">
        <w:rPr>
          <w:rFonts w:ascii="Tahoma" w:eastAsia="SimSun" w:hAnsi="Tahoma" w:cs="Tahoma"/>
          <w:color w:val="DD4F0B"/>
          <w:kern w:val="3"/>
          <w:sz w:val="20"/>
          <w:szCs w:val="20"/>
          <w:lang w:bidi="hi-IN"/>
        </w:rPr>
        <w:t>Descrição dos indicadores de resultado</w:t>
      </w:r>
      <w:r w:rsidR="006B3128" w:rsidRPr="00356ED1">
        <w:rPr>
          <w:rFonts w:ascii="Tahoma" w:eastAsia="SimSun" w:hAnsi="Tahoma" w:cs="Tahoma"/>
          <w:color w:val="DD4F0B"/>
          <w:kern w:val="3"/>
          <w:sz w:val="20"/>
          <w:szCs w:val="20"/>
          <w:lang w:bidi="hi-IN"/>
        </w:rPr>
        <w:t xml:space="preserve"> apontados na Tabela 1</w:t>
      </w:r>
      <w:r w:rsidRPr="00356ED1">
        <w:rPr>
          <w:rFonts w:ascii="Tahoma" w:eastAsia="SimSun" w:hAnsi="Tahoma" w:cs="Tahoma"/>
          <w:color w:val="DD4F0B"/>
          <w:kern w:val="3"/>
          <w:sz w:val="20"/>
          <w:szCs w:val="20"/>
          <w:lang w:bidi="hi-IN"/>
        </w:rPr>
        <w:t>:</w:t>
      </w:r>
    </w:p>
    <w:p w14:paraId="12BF626F" w14:textId="553D1BE8" w:rsidR="00F0490A" w:rsidRDefault="007A7899" w:rsidP="00072CC2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7A7899">
        <w:rPr>
          <w:rFonts w:ascii="Tahoma" w:eastAsia="SimSun" w:hAnsi="Tahoma" w:cs="Tahoma"/>
          <w:kern w:val="3"/>
          <w:sz w:val="19"/>
          <w:szCs w:val="19"/>
          <w:lang w:bidi="hi-IN"/>
        </w:rPr>
        <w:t>Índice de equidade regional</w:t>
      </w:r>
      <w:r w:rsid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(número de projetos)</w:t>
      </w:r>
      <w:r w:rsidRPr="007A789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: </w:t>
      </w:r>
    </w:p>
    <w:p w14:paraId="18DC5523" w14:textId="7841E371" w:rsidR="007A7899" w:rsidRDefault="007A7899" w:rsidP="00F0490A">
      <w:pPr>
        <w:pStyle w:val="PargrafodaLista"/>
        <w:widowControl w:val="0"/>
        <w:numPr>
          <w:ilvl w:val="1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7A7899">
        <w:rPr>
          <w:rFonts w:ascii="Tahoma" w:eastAsia="SimSun" w:hAnsi="Tahoma" w:cs="Tahoma"/>
          <w:kern w:val="3"/>
          <w:sz w:val="19"/>
          <w:szCs w:val="19"/>
          <w:lang w:bidi="hi-IN"/>
        </w:rPr>
        <w:t>“Número de operações contratadas no NE, N, CO na modalidade reembolsável / Número total de operações contratadas na modalidade reembolsável</w:t>
      </w:r>
      <w:r w:rsidR="00F0490A">
        <w:rPr>
          <w:rFonts w:ascii="Tahoma" w:eastAsia="SimSun" w:hAnsi="Tahoma" w:cs="Tahoma"/>
          <w:kern w:val="3"/>
          <w:sz w:val="19"/>
          <w:szCs w:val="19"/>
          <w:lang w:bidi="hi-IN"/>
        </w:rPr>
        <w:t>”</w:t>
      </w:r>
    </w:p>
    <w:p w14:paraId="355DBA1D" w14:textId="390CBA9B" w:rsidR="00F0490A" w:rsidRPr="00F0490A" w:rsidRDefault="00F0490A" w:rsidP="0024023E">
      <w:pPr>
        <w:pStyle w:val="PargrafodaLista"/>
        <w:widowControl w:val="0"/>
        <w:numPr>
          <w:ilvl w:val="1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>“Número de operações contratadas no NE, N, CO na modalidade não reembolsável / Número total de operações contratadas na modalidade não reembolsável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”</w:t>
      </w:r>
    </w:p>
    <w:p w14:paraId="6A521C8F" w14:textId="238480BB" w:rsidR="00F0490A" w:rsidRDefault="00F0490A" w:rsidP="00F0490A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7A7899">
        <w:rPr>
          <w:rFonts w:ascii="Tahoma" w:eastAsia="SimSun" w:hAnsi="Tahoma" w:cs="Tahoma"/>
          <w:kern w:val="3"/>
          <w:sz w:val="19"/>
          <w:szCs w:val="19"/>
          <w:lang w:bidi="hi-IN"/>
        </w:rPr>
        <w:t>Índice de equidade regional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(valor financiado)</w:t>
      </w:r>
      <w:r w:rsidRPr="007A7899">
        <w:rPr>
          <w:rFonts w:ascii="Tahoma" w:eastAsia="SimSun" w:hAnsi="Tahoma" w:cs="Tahoma"/>
          <w:kern w:val="3"/>
          <w:sz w:val="19"/>
          <w:szCs w:val="19"/>
          <w:lang w:bidi="hi-IN"/>
        </w:rPr>
        <w:t>:</w:t>
      </w:r>
    </w:p>
    <w:p w14:paraId="3F1926F0" w14:textId="6B621430" w:rsidR="00F0490A" w:rsidRPr="00F0490A" w:rsidRDefault="00F0490A" w:rsidP="003D7F20">
      <w:pPr>
        <w:pStyle w:val="PargrafodaLista"/>
        <w:widowControl w:val="0"/>
        <w:numPr>
          <w:ilvl w:val="1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>“Valor de operações contratadas no NE, N, CO na modalidade reembolsável / Valor total de operações contratadas na modalidade reembolsável”</w:t>
      </w:r>
    </w:p>
    <w:p w14:paraId="3ECBCCA1" w14:textId="61927D8D" w:rsidR="00F0490A" w:rsidRPr="00F0490A" w:rsidRDefault="00F0490A" w:rsidP="00D700BA">
      <w:pPr>
        <w:pStyle w:val="PargrafodaLista"/>
        <w:widowControl w:val="0"/>
        <w:numPr>
          <w:ilvl w:val="1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>“Valor de operações contratadas no NE, N, CO na modalidade não reembolsável / Valor total de operações contratadas na modalidade não reembolsável”</w:t>
      </w:r>
    </w:p>
    <w:p w14:paraId="6E911F8D" w14:textId="24648194" w:rsidR="007F5E05" w:rsidRDefault="007F5E05" w:rsidP="007F5E05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Execução dos recursos não reembolsáveis do FNDCT: “</w:t>
      </w:r>
      <w:r w:rsidRPr="004F5C6B">
        <w:rPr>
          <w:rFonts w:ascii="Tahoma" w:eastAsia="SimSun" w:hAnsi="Tahoma" w:cs="Tahoma"/>
          <w:kern w:val="3"/>
          <w:sz w:val="19"/>
          <w:szCs w:val="19"/>
          <w:lang w:bidi="hi-IN"/>
        </w:rPr>
        <w:t>Orçamento utilizado / Limite disponibilizado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”</w:t>
      </w:r>
    </w:p>
    <w:p w14:paraId="50745F7B" w14:textId="311E1A6B" w:rsidR="007F5E05" w:rsidRDefault="007F5E05" w:rsidP="007F5E05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66521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Taxa de contratação de micro, pequenas e médias empresas: “Número de operações contratadas com MPMEs </w:t>
      </w:r>
      <w:r w:rsid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em todas as modalidades </w:t>
      </w:r>
      <w:r w:rsidRPr="0066521A">
        <w:rPr>
          <w:rFonts w:ascii="Tahoma" w:eastAsia="SimSun" w:hAnsi="Tahoma" w:cs="Tahoma"/>
          <w:kern w:val="3"/>
          <w:sz w:val="19"/>
          <w:szCs w:val="19"/>
          <w:lang w:bidi="hi-IN"/>
        </w:rPr>
        <w:t>/ Número operações contratadas com empresas de todos os portes</w:t>
      </w:r>
      <w:r w:rsid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em todas as modalidades</w:t>
      </w:r>
      <w:r w:rsidRPr="0066521A">
        <w:rPr>
          <w:rFonts w:ascii="Tahoma" w:eastAsia="SimSun" w:hAnsi="Tahoma" w:cs="Tahoma"/>
          <w:kern w:val="3"/>
          <w:sz w:val="19"/>
          <w:szCs w:val="19"/>
          <w:lang w:bidi="hi-IN"/>
        </w:rPr>
        <w:t>"</w:t>
      </w:r>
    </w:p>
    <w:p w14:paraId="380FF5CD" w14:textId="0B454DC3" w:rsidR="00F0490A" w:rsidRDefault="00F0490A" w:rsidP="00346109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Contratação de Projetos nos temas Estratégicos no crédito direto: “Valor contratado em projetos do instrumento crédito direto em temas do </w:t>
      </w:r>
      <w:r w:rsidR="006B3128">
        <w:rPr>
          <w:rFonts w:ascii="Tahoma" w:eastAsia="SimSun" w:hAnsi="Tahoma" w:cs="Tahoma"/>
          <w:kern w:val="3"/>
          <w:sz w:val="19"/>
          <w:szCs w:val="19"/>
          <w:lang w:bidi="hi-IN"/>
        </w:rPr>
        <w:t>CNDI (</w:t>
      </w: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>Conselho Nacional de Desenvolvimento Industrial</w:t>
      </w:r>
      <w:r w:rsidR="006B3128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- </w:t>
      </w: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nova política </w:t>
      </w:r>
      <w:r w:rsidR="006B3128"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>industrial) /</w:t>
      </w:r>
      <w:r w:rsidRPr="00F0490A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Valor total contratado de projetos do instrumento de crédito direto”</w:t>
      </w:r>
    </w:p>
    <w:p w14:paraId="6F501B55" w14:textId="1C593688" w:rsidR="006B3128" w:rsidRPr="006B3128" w:rsidRDefault="006B3128" w:rsidP="003A5049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6B3128">
        <w:rPr>
          <w:rFonts w:ascii="Tahoma" w:eastAsia="SimSun" w:hAnsi="Tahoma" w:cs="Tahoma"/>
          <w:kern w:val="3"/>
          <w:sz w:val="19"/>
          <w:szCs w:val="19"/>
          <w:lang w:bidi="hi-IN"/>
        </w:rPr>
        <w:t>Contratação de projetos nos temas estratégicos no Não Reembolsável a ICTs e Subvenção Econômica com recursos FNDCT: “Valor contratado em projetos nas demandas CNDI (Conselho Nacional de Desenvolvimento Industrial - nova política industrial) nos instrumentos não reembolsável a ICTs e subvenção econômica com recursos FNDCT / Valor total de projetos contratados nos instrumentos não reembolsável a ICTs e subvenção econômica com recursos FNDCT”</w:t>
      </w:r>
    </w:p>
    <w:p w14:paraId="1E369176" w14:textId="77777777" w:rsidR="007F5E05" w:rsidRDefault="007F5E05" w:rsidP="007F5E05">
      <w:pPr>
        <w:pStyle w:val="PargrafodaLista"/>
        <w:widowControl w:val="0"/>
        <w:numPr>
          <w:ilvl w:val="0"/>
          <w:numId w:val="8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66521A">
        <w:rPr>
          <w:rFonts w:ascii="Tahoma" w:eastAsia="SimSun" w:hAnsi="Tahoma" w:cs="Tahoma"/>
          <w:kern w:val="3"/>
          <w:sz w:val="19"/>
          <w:szCs w:val="19"/>
          <w:lang w:bidi="hi-IN"/>
        </w:rPr>
        <w:t>Cobertura de despesas administrativas: “Resultado operacional líquido / (despesas administrativas líquidas + despesas com pessoal e encargos)”</w:t>
      </w:r>
    </w:p>
    <w:p w14:paraId="41C16DA3" w14:textId="77777777" w:rsidR="00ED4061" w:rsidRDefault="00ED4061">
      <w:pPr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3EA12B9B" w14:textId="77777777" w:rsidR="00ED4061" w:rsidRDefault="00ED4061">
      <w:pPr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1201F860" w14:textId="77777777" w:rsidR="00ED4061" w:rsidRDefault="00ED4061">
      <w:pPr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188E47BB" w14:textId="77777777" w:rsidR="00ED4061" w:rsidRDefault="00ED4061">
      <w:pPr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53FC4E16" w14:textId="77777777" w:rsidR="00ED4061" w:rsidRDefault="00ED4061">
      <w:pPr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0E2FE017" w14:textId="77777777" w:rsidR="004B2801" w:rsidRPr="007752C3" w:rsidRDefault="004B2801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17" w:name="_Toc166575249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lastRenderedPageBreak/>
        <w:t>Comentários dos administradores</w:t>
      </w:r>
      <w:bookmarkEnd w:id="17"/>
    </w:p>
    <w:p w14:paraId="5DB486A7" w14:textId="679D46F0" w:rsidR="00352C83" w:rsidRPr="00B566AB" w:rsidRDefault="00352C83" w:rsidP="00B566AB">
      <w:pPr>
        <w:spacing w:before="120" w:after="120" w:line="360" w:lineRule="auto"/>
        <w:rPr>
          <w:rFonts w:ascii="Tahoma" w:hAnsi="Tahoma" w:cs="Tahoma"/>
          <w:color w:val="DD4F0B"/>
          <w:sz w:val="19"/>
          <w:szCs w:val="19"/>
          <w:lang w:bidi="hi-IN"/>
        </w:rPr>
      </w:pPr>
      <w:bookmarkStart w:id="18" w:name="_Toc71730106"/>
      <w:bookmarkStart w:id="19" w:name="_Toc100594718"/>
      <w:r w:rsidRPr="00B566AB">
        <w:rPr>
          <w:rFonts w:ascii="Tahoma" w:hAnsi="Tahoma" w:cs="Tahoma"/>
          <w:color w:val="DD4F0B"/>
          <w:sz w:val="19"/>
          <w:szCs w:val="19"/>
          <w:lang w:bidi="hi-IN"/>
        </w:rPr>
        <w:t>Resu</w:t>
      </w:r>
      <w:r w:rsidR="00FC7079" w:rsidRPr="00B566AB">
        <w:rPr>
          <w:rFonts w:ascii="Tahoma" w:hAnsi="Tahoma" w:cs="Tahoma"/>
          <w:color w:val="DD4F0B"/>
          <w:sz w:val="19"/>
          <w:szCs w:val="19"/>
          <w:lang w:bidi="hi-IN"/>
        </w:rPr>
        <w:t>ltados alcançados no ano de 202</w:t>
      </w:r>
      <w:r w:rsidR="00BD4D67" w:rsidRPr="00B566AB">
        <w:rPr>
          <w:rFonts w:ascii="Tahoma" w:hAnsi="Tahoma" w:cs="Tahoma"/>
          <w:color w:val="DD4F0B"/>
          <w:sz w:val="19"/>
          <w:szCs w:val="19"/>
          <w:lang w:bidi="hi-IN"/>
        </w:rPr>
        <w:t>3</w:t>
      </w:r>
      <w:r w:rsidRPr="00B566AB">
        <w:rPr>
          <w:rFonts w:ascii="Tahoma" w:hAnsi="Tahoma" w:cs="Tahoma"/>
          <w:color w:val="DD4F0B"/>
          <w:sz w:val="19"/>
          <w:szCs w:val="19"/>
          <w:lang w:bidi="hi-IN"/>
        </w:rPr>
        <w:t xml:space="preserve"> frente às prioridades de gestão</w:t>
      </w:r>
      <w:bookmarkEnd w:id="18"/>
      <w:bookmarkEnd w:id="19"/>
    </w:p>
    <w:p w14:paraId="1E073642" w14:textId="3CE39D33" w:rsidR="000C7E53" w:rsidRDefault="000C7E53" w:rsidP="00CC557E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Os</w:t>
      </w:r>
      <w:r w:rsidRPr="00A075A1">
        <w:rPr>
          <w:rFonts w:ascii="Tahoma" w:hAnsi="Tahoma" w:cs="Tahoma"/>
          <w:sz w:val="19"/>
          <w:szCs w:val="19"/>
        </w:rPr>
        <w:t xml:space="preserve"> objetivos estratégicos para o exercício de 2023 foram organizados em quatro </w:t>
      </w:r>
      <w:r w:rsidR="005A2CD2">
        <w:rPr>
          <w:rFonts w:ascii="Tahoma" w:hAnsi="Tahoma" w:cs="Tahoma"/>
          <w:sz w:val="19"/>
          <w:szCs w:val="19"/>
        </w:rPr>
        <w:t>dimensões</w:t>
      </w:r>
      <w:r w:rsidRPr="00A075A1">
        <w:rPr>
          <w:rFonts w:ascii="Tahoma" w:hAnsi="Tahoma" w:cs="Tahoma"/>
          <w:sz w:val="19"/>
          <w:szCs w:val="19"/>
        </w:rPr>
        <w:t>: Resultados institucionais, Processos internos, Recursos e Competências e Perspectivas financeiras. Dentro delas foram distribuídos dez objetivos estratégicos, com foco na geração de valor público para a sociedade</w:t>
      </w:r>
      <w:r w:rsidR="005A2CD2">
        <w:rPr>
          <w:rFonts w:ascii="Tahoma" w:hAnsi="Tahoma" w:cs="Tahoma"/>
          <w:sz w:val="19"/>
          <w:szCs w:val="19"/>
        </w:rPr>
        <w:t xml:space="preserve"> (ver Quadro 4)</w:t>
      </w:r>
      <w:r w:rsidRPr="00A075A1">
        <w:rPr>
          <w:rFonts w:ascii="Tahoma" w:hAnsi="Tahoma" w:cs="Tahoma"/>
          <w:sz w:val="19"/>
          <w:szCs w:val="19"/>
        </w:rPr>
        <w:t>.</w:t>
      </w:r>
    </w:p>
    <w:p w14:paraId="15B94737" w14:textId="58D00651" w:rsidR="000C7E53" w:rsidRDefault="000C7E53" w:rsidP="00CC557E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A responsabilidade pela definição, execução e pelo acompanhamento do alcance desses objetivos é da Diretoria Executiva da Finep. O Conselho de Administração atua na discussão e deliberação sobre a estratégia, acompanhando trimestralmente seus resultados e publicando anualmente no site da Finep um </w:t>
      </w:r>
      <w:r w:rsidRPr="00427D8A"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 xml:space="preserve">elatório de Análise de Atendimento das Metas e Resultados na execução do Plano de Negócios e da Estratégia de Longo Prazo, em </w:t>
      </w:r>
      <w:hyperlink r:id="rId32" w:history="1">
        <w:r w:rsidRPr="00CC238C">
          <w:rPr>
            <w:rStyle w:val="Hyperlink"/>
            <w:rFonts w:ascii="Tahoma" w:hAnsi="Tahoma" w:cs="Tahoma"/>
            <w:sz w:val="19"/>
            <w:szCs w:val="19"/>
          </w:rPr>
          <w:t>http://www.finep.gov.br/a-finep-externo/governanca/conselho-de-administracao-ca/conselho-de-administracao</w:t>
        </w:r>
      </w:hyperlink>
      <w:r>
        <w:rPr>
          <w:rFonts w:ascii="Tahoma" w:hAnsi="Tahoma" w:cs="Tahoma"/>
          <w:sz w:val="19"/>
          <w:szCs w:val="19"/>
        </w:rPr>
        <w:t>.</w:t>
      </w:r>
    </w:p>
    <w:p w14:paraId="2AFC1BCA" w14:textId="77777777" w:rsidR="00EA77D2" w:rsidRDefault="00EA77D2" w:rsidP="005A2CD2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</w:p>
    <w:p w14:paraId="4EDFABCD" w14:textId="07538AAF" w:rsidR="005A2CD2" w:rsidRPr="00AD69B9" w:rsidRDefault="005A2CD2" w:rsidP="005A2CD2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AD69B9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Quadro </w:t>
      </w:r>
      <w:r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4</w:t>
      </w:r>
      <w:r w:rsidRPr="00AD69B9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- Objetivos estratégicos e resultados alcançados em 202</w:t>
      </w:r>
      <w:r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3</w:t>
      </w:r>
    </w:p>
    <w:tbl>
      <w:tblPr>
        <w:tblW w:w="96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"/>
        <w:gridCol w:w="2181"/>
        <w:gridCol w:w="2552"/>
        <w:gridCol w:w="1417"/>
        <w:gridCol w:w="567"/>
        <w:gridCol w:w="16"/>
        <w:gridCol w:w="1543"/>
      </w:tblGrid>
      <w:tr w:rsidR="000C7E53" w:rsidRPr="00A075A1" w14:paraId="4BD13131" w14:textId="77777777" w:rsidTr="004E3BD2">
        <w:trPr>
          <w:trHeight w:val="397"/>
          <w:tblHeader/>
        </w:trPr>
        <w:tc>
          <w:tcPr>
            <w:tcW w:w="1358" w:type="dxa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CEDA6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  <w:r w:rsidRPr="00A075A1">
              <w:rPr>
                <w:rFonts w:ascii="Tahoma" w:hAnsi="Tahoma" w:cs="Tahoma"/>
                <w:color w:val="FFFFFF"/>
                <w:sz w:val="19"/>
                <w:szCs w:val="19"/>
              </w:rPr>
              <w:t>Dimensão</w:t>
            </w:r>
          </w:p>
        </w:tc>
        <w:tc>
          <w:tcPr>
            <w:tcW w:w="2181" w:type="dxa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5CF8D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  <w:r w:rsidRPr="00A075A1">
              <w:rPr>
                <w:rFonts w:ascii="Tahoma" w:hAnsi="Tahoma" w:cs="Tahoma"/>
                <w:color w:val="FFFFFF"/>
                <w:sz w:val="19"/>
                <w:szCs w:val="19"/>
              </w:rPr>
              <w:t>Objetivo</w:t>
            </w:r>
          </w:p>
        </w:tc>
        <w:tc>
          <w:tcPr>
            <w:tcW w:w="2552" w:type="dxa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80A53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  <w:r w:rsidRPr="00A075A1">
              <w:rPr>
                <w:rFonts w:ascii="Tahoma" w:hAnsi="Tahoma" w:cs="Tahoma"/>
                <w:color w:val="FFFFFF"/>
                <w:sz w:val="19"/>
                <w:szCs w:val="19"/>
              </w:rPr>
              <w:t>Indicador</w:t>
            </w:r>
          </w:p>
        </w:tc>
        <w:tc>
          <w:tcPr>
            <w:tcW w:w="2000" w:type="dxa"/>
            <w:gridSpan w:val="3"/>
            <w:shd w:val="clear" w:color="auto" w:fill="00505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0CB2D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  <w:r w:rsidRPr="00A075A1">
              <w:rPr>
                <w:rFonts w:ascii="Tahoma" w:hAnsi="Tahoma" w:cs="Tahoma"/>
                <w:color w:val="FFFFFF"/>
                <w:sz w:val="19"/>
                <w:szCs w:val="19"/>
              </w:rPr>
              <w:t>Meta 2023</w:t>
            </w:r>
          </w:p>
        </w:tc>
        <w:tc>
          <w:tcPr>
            <w:tcW w:w="1543" w:type="dxa"/>
            <w:shd w:val="clear" w:color="auto" w:fill="005051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07F3998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  <w:r w:rsidRPr="00A075A1">
              <w:rPr>
                <w:rFonts w:ascii="Tahoma" w:hAnsi="Tahoma" w:cs="Tahoma"/>
                <w:color w:val="FFFFFF"/>
                <w:sz w:val="19"/>
                <w:szCs w:val="19"/>
              </w:rPr>
              <w:t>Resultado</w:t>
            </w:r>
          </w:p>
        </w:tc>
      </w:tr>
      <w:tr w:rsidR="000C7E53" w:rsidRPr="00A075A1" w14:paraId="580A878B" w14:textId="77777777" w:rsidTr="004E3BD2">
        <w:trPr>
          <w:trHeight w:val="774"/>
        </w:trPr>
        <w:tc>
          <w:tcPr>
            <w:tcW w:w="13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90EC0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Resultados institucionais</w:t>
            </w: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7AF71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Promover CT&amp;I em áreas prioritárias para o desenvolvimento sustentável e equilibrado do país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27E22" w14:textId="4FCDFCBA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Execução dos recursos não reembolsáveis do FNDCT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DB06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99,84%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050EE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471A53B8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100%</w:t>
            </w:r>
          </w:p>
        </w:tc>
      </w:tr>
      <w:tr w:rsidR="000C7E53" w:rsidRPr="00A075A1" w14:paraId="34F5DE38" w14:textId="77777777" w:rsidTr="004E3BD2">
        <w:trPr>
          <w:trHeight w:val="580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EC733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CB1FE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5152C" w14:textId="36855030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Liberação de recursos reembolsáveis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9FFC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R$ 4 bi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D6DB2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7A30B51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R$ 5,43 bi</w:t>
            </w:r>
          </w:p>
        </w:tc>
      </w:tr>
      <w:tr w:rsidR="000C7E53" w:rsidRPr="00A075A1" w14:paraId="69F8B078" w14:textId="77777777" w:rsidTr="004E3BD2">
        <w:trPr>
          <w:trHeight w:val="580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AE23C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5F41C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2A79E" w14:textId="3620C7F0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Índice de Equidade Regional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5433E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22%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61A2A0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eastAsia="Wingdings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8A8ACC4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32,15%</w:t>
            </w:r>
          </w:p>
        </w:tc>
      </w:tr>
      <w:tr w:rsidR="000C7E53" w:rsidRPr="00A075A1" w14:paraId="30F93800" w14:textId="77777777" w:rsidTr="004E3BD2">
        <w:trPr>
          <w:trHeight w:val="1595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6E090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1962F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Estimular o empreendedorismo e o desenvolvimento de inovações, especialmente em MPMEs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B4073" w14:textId="3372EEF5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Taxa de contratação de micro, pequenas e médias empresas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4382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91,2%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ABB2E5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16FADCE7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93,65%</w:t>
            </w:r>
          </w:p>
        </w:tc>
      </w:tr>
      <w:tr w:rsidR="000C7E53" w:rsidRPr="00A075A1" w14:paraId="79B2291D" w14:textId="77777777" w:rsidTr="004E3BD2">
        <w:trPr>
          <w:trHeight w:val="613"/>
        </w:trPr>
        <w:tc>
          <w:tcPr>
            <w:tcW w:w="13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626AC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Processos internos</w:t>
            </w: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68A0D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Aprimorar a eficiência organizacional, racionalizando o uso dos recursos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AC7F9" w14:textId="720B44D8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 xml:space="preserve">Contratações de projetos per </w:t>
            </w:r>
            <w:r w:rsidR="008C38D7">
              <w:rPr>
                <w:rFonts w:ascii="Tahoma" w:hAnsi="Tahoma" w:cs="Tahoma"/>
                <w:sz w:val="19"/>
                <w:szCs w:val="19"/>
              </w:rPr>
              <w:t>c</w:t>
            </w:r>
            <w:r w:rsidRPr="00A075A1">
              <w:rPr>
                <w:rFonts w:ascii="Tahoma" w:hAnsi="Tahoma" w:cs="Tahoma"/>
                <w:sz w:val="19"/>
                <w:szCs w:val="19"/>
              </w:rPr>
              <w:t>apita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67E9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1,13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4013265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39B1EBDC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3,42</w:t>
            </w:r>
          </w:p>
        </w:tc>
      </w:tr>
      <w:tr w:rsidR="000C7E53" w:rsidRPr="00A075A1" w14:paraId="7521DE22" w14:textId="77777777" w:rsidTr="004E3BD2">
        <w:trPr>
          <w:trHeight w:val="551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047B4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B9C22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192B9" w14:textId="0D2392FA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Tempo de contratação de projetos de crédito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C34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195 dias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31EDA527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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04E58B69" w14:textId="77777777" w:rsidR="000C7E53" w:rsidRPr="002449EA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2449EA">
              <w:rPr>
                <w:rFonts w:ascii="Tahoma" w:hAnsi="Tahoma" w:cs="Tahoma"/>
                <w:sz w:val="19"/>
                <w:szCs w:val="19"/>
              </w:rPr>
              <w:t>131 dias</w:t>
            </w:r>
          </w:p>
        </w:tc>
      </w:tr>
      <w:tr w:rsidR="000C7E53" w:rsidRPr="00A075A1" w14:paraId="32762612" w14:textId="77777777" w:rsidTr="004E3BD2">
        <w:trPr>
          <w:trHeight w:val="560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3B7E3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24AEB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EFD6" w14:textId="69971AF0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Produtividade per capita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DD61C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R$ 846,6 mil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16CBC345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eastAsia="Wingdings" w:hAnsi="Tahoma" w:cs="Tahoma"/>
                <w:sz w:val="19"/>
                <w:szCs w:val="19"/>
              </w:rPr>
            </w:pPr>
            <w:r w:rsidRPr="00C210B7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20EF267" w14:textId="77777777" w:rsidR="000C7E53" w:rsidRPr="002449EA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2449EA">
              <w:rPr>
                <w:rFonts w:ascii="Tahoma" w:hAnsi="Tahoma" w:cs="Tahoma"/>
                <w:sz w:val="19"/>
                <w:szCs w:val="19"/>
              </w:rPr>
              <w:t>R$ 1.896,31 mil</w:t>
            </w:r>
          </w:p>
        </w:tc>
      </w:tr>
      <w:tr w:rsidR="000C7E53" w:rsidRPr="00A075A1" w14:paraId="199A04EE" w14:textId="77777777" w:rsidTr="004E3BD2">
        <w:trPr>
          <w:trHeight w:val="838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F5368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FB8EF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A847" w14:textId="3F8E31CE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Taxa de encerramento das operações não reembolsáveis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2849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51,5%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3452B5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C210B7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F9C489A" w14:textId="77777777" w:rsidR="000C7E53" w:rsidRPr="002449EA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2449EA">
              <w:rPr>
                <w:rFonts w:ascii="Tahoma" w:hAnsi="Tahoma" w:cs="Tahoma"/>
                <w:sz w:val="19"/>
                <w:szCs w:val="19"/>
              </w:rPr>
              <w:t>54,94%</w:t>
            </w:r>
          </w:p>
        </w:tc>
      </w:tr>
      <w:tr w:rsidR="000C7E53" w:rsidRPr="00A075A1" w14:paraId="2052527A" w14:textId="77777777" w:rsidTr="004E3BD2">
        <w:trPr>
          <w:trHeight w:val="850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BCECA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8FB4A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D32E8" w14:textId="3DD701FF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bookmarkStart w:id="20" w:name="_Hlk161719543"/>
            <w:r w:rsidRPr="00A075A1">
              <w:rPr>
                <w:rFonts w:ascii="Tahoma" w:hAnsi="Tahoma" w:cs="Tahoma"/>
                <w:sz w:val="19"/>
                <w:szCs w:val="19"/>
              </w:rPr>
              <w:t>Tempo médio de processamento não reembolsável</w:t>
            </w:r>
            <w:bookmarkEnd w:id="20"/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6ACD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154 dias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6EC1CE01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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1C090004" w14:textId="77777777" w:rsidR="000C7E53" w:rsidRPr="002449EA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2449EA">
              <w:rPr>
                <w:rFonts w:ascii="Tahoma" w:hAnsi="Tahoma" w:cs="Tahoma"/>
                <w:sz w:val="19"/>
                <w:szCs w:val="19"/>
              </w:rPr>
              <w:t>199 dias</w:t>
            </w:r>
          </w:p>
        </w:tc>
      </w:tr>
      <w:tr w:rsidR="000C7E53" w:rsidRPr="00A075A1" w14:paraId="2DF5EB3E" w14:textId="77777777" w:rsidTr="004E3BD2">
        <w:trPr>
          <w:trHeight w:val="1116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2CE91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45A6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BDB41" w14:textId="1036ABD5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Tempo médio de contratação de operações do Programa Finep Startup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7204E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300 dias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5F5F4C6A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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660376EA" w14:textId="77777777" w:rsidR="000C7E53" w:rsidRPr="002449EA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2449EA">
              <w:rPr>
                <w:rFonts w:ascii="Tahoma" w:hAnsi="Tahoma" w:cs="Tahoma"/>
                <w:sz w:val="19"/>
                <w:szCs w:val="19"/>
              </w:rPr>
              <w:t>317 dias</w:t>
            </w:r>
          </w:p>
        </w:tc>
      </w:tr>
      <w:tr w:rsidR="000C7E53" w:rsidRPr="00A075A1" w14:paraId="3AAFA9E9" w14:textId="77777777" w:rsidTr="004E3BD2">
        <w:trPr>
          <w:trHeight w:val="578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6325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E5012" w14:textId="77777777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Promover a inovação corporativa e a maturidade digital da Finep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27CE8" w14:textId="5DFB2273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Taxa de execução das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ações de TI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EBD3A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90%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553E37F4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4EF57C55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98,11%</w:t>
            </w:r>
          </w:p>
        </w:tc>
      </w:tr>
      <w:tr w:rsidR="000C7E53" w:rsidRPr="00A075A1" w14:paraId="3649CC6D" w14:textId="77777777" w:rsidTr="004E3BD2">
        <w:trPr>
          <w:trHeight w:val="827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6321B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CDCD8" w14:textId="77777777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13CAA" w14:textId="793704D3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Taxa de execução do roadmap da estratégia digita</w:t>
            </w:r>
            <w:r w:rsidR="0045001F">
              <w:rPr>
                <w:rStyle w:val="markedcontent"/>
                <w:rFonts w:ascii="Tahoma" w:hAnsi="Tahoma" w:cs="Tahoma"/>
                <w:sz w:val="19"/>
                <w:szCs w:val="19"/>
              </w:rPr>
              <w:t>l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10021" w14:textId="77777777" w:rsidR="000C7E53" w:rsidRPr="00A075A1" w:rsidRDefault="000C7E53" w:rsidP="000C7E53">
            <w:pPr>
              <w:spacing w:after="0" w:line="240" w:lineRule="auto"/>
              <w:jc w:val="center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>
              <w:rPr>
                <w:rStyle w:val="markedcontent"/>
                <w:rFonts w:ascii="Tahoma" w:hAnsi="Tahoma" w:cs="Tahoma"/>
                <w:sz w:val="19"/>
                <w:szCs w:val="19"/>
              </w:rPr>
              <w:t>em estruturação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-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6EEB893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eastAsia="Wingdings" w:hAnsi="Tahoma" w:cs="Tahoma"/>
                <w:sz w:val="19"/>
                <w:szCs w:val="19"/>
              </w:rPr>
            </w:pPr>
            <w:r>
              <w:rPr>
                <w:rFonts w:ascii="Tahoma" w:eastAsia="Wingdings" w:hAnsi="Tahoma" w:cs="Tahoma"/>
                <w:sz w:val="19"/>
                <w:szCs w:val="19"/>
              </w:rPr>
              <w:t>-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F2B96E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-</w:t>
            </w:r>
          </w:p>
        </w:tc>
      </w:tr>
      <w:tr w:rsidR="000C7E53" w:rsidRPr="00A075A1" w14:paraId="4F317503" w14:textId="77777777" w:rsidTr="004E3BD2">
        <w:trPr>
          <w:trHeight w:val="1263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452A1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CCF2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Estabelecer novas formas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 programas, produtos 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serviços para atender aos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desafios da sociedade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D2D50" w14:textId="1366F8E0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Número de produtos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significativamente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aprimorados ou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desenvolvidos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04841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4 produtos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3FB0B88F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01495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79A522B5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5 produtos</w:t>
            </w:r>
          </w:p>
        </w:tc>
      </w:tr>
      <w:tr w:rsidR="000C7E53" w:rsidRPr="00A075A1" w14:paraId="762BF4BB" w14:textId="77777777" w:rsidTr="004E3BD2"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2C649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DC252" w14:textId="3DDF345C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Fortalecer arranjos 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cooperação, alianças 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parcerias estratégicas voltadas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ao fomento de atividades 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CT&amp;I que contribuam para 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desenvolvimento do País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4C1E5" w14:textId="7DA4AE1A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Taxa de chamadas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públicas lançadas em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parceria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F3C91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40%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7983605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01495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4014B9E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33,33%</w:t>
            </w:r>
          </w:p>
        </w:tc>
      </w:tr>
      <w:tr w:rsidR="000C7E53" w:rsidRPr="00A075A1" w14:paraId="3A53D8FF" w14:textId="77777777" w:rsidTr="004E3BD2">
        <w:trPr>
          <w:trHeight w:val="1278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89DC7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987E0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7922" w14:textId="43F39FF0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Agentes do financiamento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reembolsável descentralizado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ativos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A089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54,55%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32F91AC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01495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1985BA9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53,57%</w:t>
            </w:r>
          </w:p>
        </w:tc>
      </w:tr>
      <w:tr w:rsidR="000C7E53" w:rsidRPr="00A075A1" w14:paraId="1D801112" w14:textId="77777777" w:rsidTr="004E3BD2">
        <w:trPr>
          <w:trHeight w:val="1706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87392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68612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Aperfeiçoar mecanismos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 transparência,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conformidade, integridade 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comunicação institucional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5F2C" w14:textId="6D054FD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Indicador de conformidade SEST (IC-</w:t>
            </w:r>
            <w:r w:rsidR="0045001F">
              <w:rPr>
                <w:rStyle w:val="markedcontent"/>
                <w:rFonts w:ascii="Tahoma" w:hAnsi="Tahoma" w:cs="Tahoma"/>
                <w:sz w:val="19"/>
                <w:szCs w:val="19"/>
              </w:rPr>
              <w:t>Sest)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9CD6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1.000 pontos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45DA185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01495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5AE4FB0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-</w:t>
            </w:r>
          </w:p>
        </w:tc>
      </w:tr>
      <w:tr w:rsidR="000C7E53" w:rsidRPr="00A075A1" w14:paraId="42A41D26" w14:textId="77777777" w:rsidTr="004E3BD2">
        <w:trPr>
          <w:trHeight w:val="1688"/>
        </w:trPr>
        <w:tc>
          <w:tcPr>
            <w:tcW w:w="13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B8FDE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Recursos e competências</w:t>
            </w:r>
          </w:p>
        </w:tc>
        <w:tc>
          <w:tcPr>
            <w:tcW w:w="2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B178F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Desenvolver práticas 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gestão de pessoas,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competências e cultura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organizacional com foco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em resultados e valorização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do corpo funcional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38F9C" w14:textId="0B2E21FE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Taxa de execução do plano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de capacitação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9122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90%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601A9B77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77CB05A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96,15%</w:t>
            </w:r>
          </w:p>
        </w:tc>
      </w:tr>
      <w:tr w:rsidR="000C7E53" w:rsidRPr="00A075A1" w14:paraId="2511277B" w14:textId="77777777" w:rsidTr="004E3BD2">
        <w:trPr>
          <w:trHeight w:val="547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F1A0A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6C64D" w14:textId="77777777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Aprimorar as práticas de gestão e infraestrutura tecnológica para atender as necessidades da estratégia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25B8E" w14:textId="6ED52DE2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Índice de maturidade 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gestão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BF196C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 ser definida após 1ª apuração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A3F1EF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2940F0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-</w:t>
            </w:r>
          </w:p>
        </w:tc>
      </w:tr>
      <w:tr w:rsidR="000C7E53" w:rsidRPr="00A075A1" w14:paraId="61C28210" w14:textId="77777777" w:rsidTr="004E3BD2">
        <w:trPr>
          <w:trHeight w:val="856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46C68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F99A2" w14:textId="77777777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5E379" w14:textId="188173B3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Taxa de execução do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portfólio de iniciativas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estratégicas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446A1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90%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34A75CC9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39F4FBB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82,12%</w:t>
            </w:r>
          </w:p>
        </w:tc>
      </w:tr>
      <w:tr w:rsidR="000C7E53" w:rsidRPr="00A075A1" w14:paraId="2DCB5E89" w14:textId="77777777" w:rsidTr="004E3BD2">
        <w:trPr>
          <w:trHeight w:val="698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48470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9BAB8" w14:textId="77777777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CEC67" w14:textId="411BAE3E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Índice DADM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E5F0CD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91,5%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653C9F5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7777B8C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98,52%</w:t>
            </w:r>
          </w:p>
        </w:tc>
      </w:tr>
      <w:tr w:rsidR="000C7E53" w:rsidRPr="00A075A1" w14:paraId="0608059A" w14:textId="77777777" w:rsidTr="004E3BD2">
        <w:trPr>
          <w:trHeight w:val="582"/>
        </w:trPr>
        <w:tc>
          <w:tcPr>
            <w:tcW w:w="13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67BD8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Perspectivas financeiras</w:t>
            </w:r>
          </w:p>
        </w:tc>
        <w:tc>
          <w:tcPr>
            <w:tcW w:w="218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9F1A6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Assegurar o equilíbrio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entre fontes e uso 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recursos financeiros em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prol da sustentabilidade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financeira da empresa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84199" w14:textId="59068A38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Cobertura de despesas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Administrativas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971AF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149,5%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564B1E04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1ACB585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293,65%</w:t>
            </w:r>
          </w:p>
        </w:tc>
      </w:tr>
      <w:tr w:rsidR="000C7E53" w:rsidRPr="00A075A1" w14:paraId="45416097" w14:textId="77777777" w:rsidTr="004E3BD2">
        <w:trPr>
          <w:trHeight w:val="532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BA72E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97F6E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A7235" w14:textId="0C44394E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Índice de qualidade da</w:t>
            </w:r>
            <w:r w:rsidRPr="00A075A1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carteira de crédito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C2D87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79,41%</w:t>
            </w:r>
          </w:p>
        </w:tc>
        <w:tc>
          <w:tcPr>
            <w:tcW w:w="583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586B5874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43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292D2DC3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85,03%</w:t>
            </w:r>
          </w:p>
        </w:tc>
      </w:tr>
      <w:tr w:rsidR="000C7E53" w:rsidRPr="00A075A1" w14:paraId="1265E3B6" w14:textId="77777777" w:rsidTr="004E3BD2">
        <w:trPr>
          <w:trHeight w:val="624"/>
        </w:trPr>
        <w:tc>
          <w:tcPr>
            <w:tcW w:w="135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35705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18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E56AB" w14:textId="77777777" w:rsidR="000C7E53" w:rsidRPr="00A075A1" w:rsidRDefault="000C7E53" w:rsidP="000C7E5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FE810" w14:textId="0CEDC2B1" w:rsidR="000C7E53" w:rsidRPr="00A075A1" w:rsidRDefault="000C7E53" w:rsidP="000C7E53">
            <w:pPr>
              <w:spacing w:after="0" w:line="240" w:lineRule="auto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Margem do faturamento operacional líquido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69716" w14:textId="77777777" w:rsidR="000C7E53" w:rsidRPr="00A075A1" w:rsidRDefault="000C7E53" w:rsidP="000C7E53">
            <w:pPr>
              <w:spacing w:after="0" w:line="240" w:lineRule="auto"/>
              <w:jc w:val="center"/>
              <w:rPr>
                <w:rStyle w:val="markedcontent"/>
                <w:rFonts w:ascii="Tahoma" w:hAnsi="Tahoma" w:cs="Tahoma"/>
                <w:sz w:val="19"/>
                <w:szCs w:val="19"/>
              </w:rPr>
            </w:pPr>
            <w:r w:rsidRPr="00A075A1">
              <w:rPr>
                <w:rStyle w:val="markedcontent"/>
                <w:rFonts w:ascii="Tahoma" w:hAnsi="Tahoma" w:cs="Tahoma"/>
                <w:sz w:val="19"/>
                <w:szCs w:val="19"/>
              </w:rPr>
              <w:t>48,2%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776F08B2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eastAsia="Wingdings" w:hAnsi="Tahoma" w:cs="Tahoma"/>
                <w:sz w:val="19"/>
                <w:szCs w:val="19"/>
              </w:rPr>
            </w:pPr>
            <w:r w:rsidRPr="004A5236">
              <w:rPr>
                <w:rFonts w:ascii="Wingdings" w:eastAsia="Wingdings" w:hAnsi="Wingdings" w:cs="Wingdings"/>
                <w:sz w:val="18"/>
                <w:szCs w:val="18"/>
              </w:rPr>
              <w:t></w:t>
            </w:r>
          </w:p>
        </w:tc>
        <w:tc>
          <w:tcPr>
            <w:tcW w:w="1559" w:type="dxa"/>
            <w:gridSpan w:val="2"/>
            <w:shd w:val="clear" w:color="auto" w:fill="auto"/>
            <w:tcMar>
              <w:top w:w="0" w:type="dxa"/>
              <w:left w:w="11" w:type="dxa"/>
              <w:bottom w:w="0" w:type="dxa"/>
              <w:right w:w="10" w:type="dxa"/>
            </w:tcMar>
            <w:vAlign w:val="center"/>
          </w:tcPr>
          <w:p w14:paraId="79AD8F78" w14:textId="77777777" w:rsidR="000C7E53" w:rsidRPr="00A075A1" w:rsidRDefault="000C7E53" w:rsidP="000C7E53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A075A1">
              <w:rPr>
                <w:rFonts w:ascii="Tahoma" w:hAnsi="Tahoma" w:cs="Tahoma"/>
                <w:sz w:val="19"/>
                <w:szCs w:val="19"/>
              </w:rPr>
              <w:t>88,42%</w:t>
            </w:r>
          </w:p>
        </w:tc>
      </w:tr>
    </w:tbl>
    <w:p w14:paraId="69DD6CFF" w14:textId="77777777" w:rsidR="000C7E53" w:rsidRPr="000C7E53" w:rsidRDefault="000C7E53" w:rsidP="000C7E53">
      <w:pPr>
        <w:spacing w:before="60" w:after="60"/>
        <w:jc w:val="both"/>
        <w:rPr>
          <w:rFonts w:ascii="Tahoma" w:hAnsi="Tahoma" w:cs="Tahoma"/>
          <w:sz w:val="19"/>
          <w:szCs w:val="19"/>
        </w:rPr>
      </w:pPr>
      <w:r w:rsidRPr="000C7E53">
        <w:rPr>
          <w:rFonts w:ascii="Tahoma" w:hAnsi="Tahoma" w:cs="Tahoma"/>
          <w:sz w:val="19"/>
          <w:szCs w:val="19"/>
        </w:rPr>
        <w:t xml:space="preserve">Nota: </w:t>
      </w:r>
      <w:r w:rsidRPr="000C7E53">
        <w:rPr>
          <w:rFonts w:ascii="Wingdings" w:eastAsia="Wingdings" w:hAnsi="Wingdings" w:cs="Wingdings"/>
          <w:sz w:val="19"/>
          <w:szCs w:val="19"/>
        </w:rPr>
        <w:t></w:t>
      </w:r>
      <w:r w:rsidRPr="000C7E53">
        <w:rPr>
          <w:rFonts w:ascii="Tahoma" w:hAnsi="Tahoma" w:cs="Tahoma"/>
          <w:sz w:val="19"/>
          <w:szCs w:val="19"/>
        </w:rPr>
        <w:t xml:space="preserve"> - quanto maior, melhor e </w:t>
      </w:r>
      <w:r w:rsidRPr="000C7E53">
        <w:rPr>
          <w:rFonts w:ascii="Wingdings" w:eastAsia="Wingdings" w:hAnsi="Wingdings" w:cs="Wingdings"/>
          <w:sz w:val="19"/>
          <w:szCs w:val="19"/>
        </w:rPr>
        <w:t></w:t>
      </w:r>
      <w:r w:rsidRPr="000C7E53">
        <w:rPr>
          <w:rFonts w:ascii="Tahoma" w:hAnsi="Tahoma" w:cs="Tahoma"/>
          <w:sz w:val="19"/>
          <w:szCs w:val="19"/>
        </w:rPr>
        <w:t xml:space="preserve"> - quanto menor, melhor.</w:t>
      </w:r>
    </w:p>
    <w:p w14:paraId="0744E0F4" w14:textId="77777777" w:rsidR="000C7E53" w:rsidRPr="00C50A95" w:rsidRDefault="000C7E53" w:rsidP="000C7E53">
      <w:pPr>
        <w:spacing w:before="120" w:after="120" w:line="360" w:lineRule="auto"/>
        <w:rPr>
          <w:rFonts w:ascii="Tahoma" w:hAnsi="Tahoma" w:cs="Tahoma"/>
          <w:sz w:val="19"/>
          <w:szCs w:val="19"/>
        </w:rPr>
      </w:pPr>
    </w:p>
    <w:p w14:paraId="395FD89A" w14:textId="77777777" w:rsidR="0045001F" w:rsidRPr="0045001F" w:rsidRDefault="0045001F" w:rsidP="000C7E53">
      <w:pPr>
        <w:spacing w:before="120" w:after="120" w:line="360" w:lineRule="auto"/>
        <w:rPr>
          <w:rFonts w:ascii="Tahoma" w:hAnsi="Tahoma" w:cs="Tahoma"/>
          <w:sz w:val="19"/>
          <w:szCs w:val="19"/>
        </w:rPr>
      </w:pPr>
    </w:p>
    <w:p w14:paraId="7876B01A" w14:textId="1852BE6B" w:rsidR="000C7E53" w:rsidRPr="00CC557E" w:rsidRDefault="000C7E53" w:rsidP="000C7E53">
      <w:pPr>
        <w:spacing w:before="120" w:after="120" w:line="360" w:lineRule="auto"/>
        <w:rPr>
          <w:rFonts w:ascii="Tahoma" w:hAnsi="Tahoma" w:cs="Tahoma"/>
          <w:color w:val="DD4F0B"/>
          <w:sz w:val="19"/>
          <w:szCs w:val="19"/>
        </w:rPr>
      </w:pPr>
      <w:r w:rsidRPr="00CC557E">
        <w:rPr>
          <w:rFonts w:ascii="Tahoma" w:hAnsi="Tahoma" w:cs="Tahoma"/>
          <w:color w:val="DD4F0B"/>
          <w:sz w:val="19"/>
          <w:szCs w:val="19"/>
        </w:rPr>
        <w:lastRenderedPageBreak/>
        <w:t>Análise da Execução da Estratégia e Plano de Negócios 2023</w:t>
      </w:r>
    </w:p>
    <w:p w14:paraId="7C4ECFE0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O plano estratégico institucional tem o propósito de orientar nossa atuação e processo decisório interno, promovendo a integração e a convergência de esforços entre os diversos níveis da organização, além de servir como instrumento para dar transparência às partes interessadas sobre os planos organizacionais e metas definidas para o período.</w:t>
      </w:r>
    </w:p>
    <w:p w14:paraId="7689BD15" w14:textId="4EC05BAB" w:rsidR="000C7E53" w:rsidRPr="00442376" w:rsidRDefault="00CC557E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 Finep teve</w:t>
      </w:r>
      <w:r w:rsidR="000C7E53" w:rsidRPr="00442376">
        <w:rPr>
          <w:rFonts w:ascii="Tahoma" w:hAnsi="Tahoma" w:cs="Tahoma"/>
          <w:sz w:val="19"/>
          <w:szCs w:val="19"/>
        </w:rPr>
        <w:t xml:space="preserve"> um desempenho satisfatório na execução da estratégia</w:t>
      </w:r>
      <w:r>
        <w:rPr>
          <w:rFonts w:ascii="Tahoma" w:hAnsi="Tahoma" w:cs="Tahoma"/>
          <w:sz w:val="19"/>
          <w:szCs w:val="19"/>
        </w:rPr>
        <w:t>.</w:t>
      </w:r>
      <w:r w:rsidR="000C7E53" w:rsidRPr="00442376">
        <w:rPr>
          <w:rFonts w:ascii="Tahoma" w:hAnsi="Tahoma" w:cs="Tahoma"/>
          <w:sz w:val="19"/>
          <w:szCs w:val="19"/>
        </w:rPr>
        <w:t xml:space="preserve"> Do total de indicadores estratégicos, 65% tiveram suas metas superadas. O percentual médio de atendimento de metas como um todo foi de 131%. O resultado positivo é </w:t>
      </w:r>
      <w:r>
        <w:rPr>
          <w:rFonts w:ascii="Tahoma" w:hAnsi="Tahoma" w:cs="Tahoma"/>
          <w:sz w:val="19"/>
          <w:szCs w:val="19"/>
        </w:rPr>
        <w:t>consequência</w:t>
      </w:r>
      <w:r w:rsidR="000C7E53" w:rsidRPr="00442376">
        <w:rPr>
          <w:rFonts w:ascii="Tahoma" w:hAnsi="Tahoma" w:cs="Tahoma"/>
          <w:sz w:val="19"/>
          <w:szCs w:val="19"/>
        </w:rPr>
        <w:t xml:space="preserve"> da efetividade das medidas adotadas nos últimos anos, com foco no aumento da nossa eficiência e de aspectos relevantes relacionados ao orçamento disponibilizado para a Finep e </w:t>
      </w:r>
      <w:r w:rsidR="000C7E53">
        <w:rPr>
          <w:rFonts w:ascii="Tahoma" w:hAnsi="Tahoma" w:cs="Tahoma"/>
          <w:sz w:val="19"/>
          <w:szCs w:val="19"/>
        </w:rPr>
        <w:t>à</w:t>
      </w:r>
      <w:r w:rsidR="000C7E53" w:rsidRPr="00442376">
        <w:rPr>
          <w:rFonts w:ascii="Tahoma" w:hAnsi="Tahoma" w:cs="Tahoma"/>
          <w:sz w:val="19"/>
          <w:szCs w:val="19"/>
        </w:rPr>
        <w:t xml:space="preserve"> atratividade das nossas linhas de financiamento.</w:t>
      </w:r>
    </w:p>
    <w:p w14:paraId="1D27C073" w14:textId="28D3D425" w:rsidR="000C7E53" w:rsidRPr="00442376" w:rsidRDefault="000C7E53" w:rsidP="000C7E53">
      <w:pPr>
        <w:shd w:val="clear" w:color="auto" w:fill="FFFFFF" w:themeFill="background1"/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O descontingenciamento dos recursos do FNDCT, devido aos efeitos da Lei Complementar 177, de 12 de janeiro de 2021, propiciou um importante aumento de recursos e previsibilidade orçamentária para o financiamento de pesquisa, desenvolvimento e inovação em 2023. Ainda, a Lei 14.554, de 20 de abril de 2023 estabilizou a </w:t>
      </w:r>
      <w:r w:rsidR="005A2CD2">
        <w:rPr>
          <w:rFonts w:ascii="Tahoma" w:hAnsi="Tahoma" w:cs="Tahoma"/>
          <w:sz w:val="19"/>
          <w:szCs w:val="19"/>
        </w:rPr>
        <w:t>T</w:t>
      </w:r>
      <w:r w:rsidRPr="00442376">
        <w:rPr>
          <w:rFonts w:ascii="Tahoma" w:hAnsi="Tahoma" w:cs="Tahoma"/>
          <w:sz w:val="19"/>
          <w:szCs w:val="19"/>
        </w:rPr>
        <w:t xml:space="preserve">axa </w:t>
      </w:r>
      <w:r w:rsidR="005A2CD2">
        <w:rPr>
          <w:rFonts w:ascii="Tahoma" w:hAnsi="Tahoma" w:cs="Tahoma"/>
          <w:sz w:val="19"/>
          <w:szCs w:val="19"/>
        </w:rPr>
        <w:t>R</w:t>
      </w:r>
      <w:r w:rsidRPr="00442376">
        <w:rPr>
          <w:rFonts w:ascii="Tahoma" w:hAnsi="Tahoma" w:cs="Tahoma"/>
          <w:sz w:val="19"/>
          <w:szCs w:val="19"/>
        </w:rPr>
        <w:t xml:space="preserve">eferencial </w:t>
      </w:r>
      <w:r w:rsidR="005A2CD2">
        <w:rPr>
          <w:rFonts w:ascii="Tahoma" w:hAnsi="Tahoma" w:cs="Tahoma"/>
          <w:sz w:val="19"/>
          <w:szCs w:val="19"/>
        </w:rPr>
        <w:t xml:space="preserve">(TR) </w:t>
      </w:r>
      <w:r w:rsidRPr="00442376">
        <w:rPr>
          <w:rFonts w:ascii="Tahoma" w:hAnsi="Tahoma" w:cs="Tahoma"/>
          <w:sz w:val="19"/>
          <w:szCs w:val="19"/>
        </w:rPr>
        <w:t xml:space="preserve">como taxa de juros remuneratórios </w:t>
      </w:r>
      <w:r w:rsidR="00B20C67">
        <w:rPr>
          <w:rFonts w:ascii="Tahoma" w:hAnsi="Tahoma" w:cs="Tahoma"/>
          <w:sz w:val="19"/>
          <w:szCs w:val="19"/>
        </w:rPr>
        <w:t>a</w:t>
      </w:r>
      <w:r w:rsidRPr="00442376">
        <w:rPr>
          <w:rFonts w:ascii="Tahoma" w:hAnsi="Tahoma" w:cs="Tahoma"/>
          <w:sz w:val="19"/>
          <w:szCs w:val="19"/>
        </w:rPr>
        <w:t>o FNDCT, consolidando a atratividade das nossas linhas de financiamento reembolsável.</w:t>
      </w:r>
    </w:p>
    <w:p w14:paraId="190EABF5" w14:textId="516ADF34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Os fatores mencionados resultaram no aumento da demanda por recursos reembolsáveis e na operacionalização de um elevado número de ações com recursos não reembolsáveis, que impactaram positivamente os indicadores na </w:t>
      </w:r>
      <w:r w:rsidRPr="00B20C67">
        <w:rPr>
          <w:rFonts w:ascii="Tahoma" w:hAnsi="Tahoma" w:cs="Tahoma"/>
          <w:sz w:val="19"/>
          <w:szCs w:val="19"/>
        </w:rPr>
        <w:t xml:space="preserve">Dimensão Resultados Institucionais da </w:t>
      </w:r>
      <w:r w:rsidR="00B20C67">
        <w:rPr>
          <w:rFonts w:ascii="Tahoma" w:hAnsi="Tahoma" w:cs="Tahoma"/>
          <w:sz w:val="19"/>
          <w:szCs w:val="19"/>
        </w:rPr>
        <w:t>e</w:t>
      </w:r>
      <w:r w:rsidRPr="00B20C67">
        <w:rPr>
          <w:rFonts w:ascii="Tahoma" w:hAnsi="Tahoma" w:cs="Tahoma"/>
          <w:sz w:val="19"/>
          <w:szCs w:val="19"/>
        </w:rPr>
        <w:t xml:space="preserve">stratégia, na qual estão </w:t>
      </w:r>
      <w:r w:rsidRPr="00442376">
        <w:rPr>
          <w:rFonts w:ascii="Tahoma" w:hAnsi="Tahoma" w:cs="Tahoma"/>
          <w:sz w:val="19"/>
          <w:szCs w:val="19"/>
        </w:rPr>
        <w:t>agrupados os objetivos relacionados com a missão da empresa.</w:t>
      </w:r>
    </w:p>
    <w:p w14:paraId="62E7A7F9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O aumento dos recursos para ações não reembolsáveis em 2023 foi da ordem </w:t>
      </w:r>
      <w:r w:rsidRPr="00442376">
        <w:rPr>
          <w:rFonts w:ascii="Tahoma" w:hAnsi="Tahoma" w:cs="Tahoma"/>
          <w:sz w:val="19"/>
          <w:szCs w:val="19"/>
          <w:shd w:val="clear" w:color="auto" w:fill="FFFFFF" w:themeFill="background1"/>
        </w:rPr>
        <w:t>de 80%</w:t>
      </w:r>
      <w:r w:rsidRPr="00442376">
        <w:rPr>
          <w:rFonts w:ascii="Tahoma" w:hAnsi="Tahoma" w:cs="Tahoma"/>
          <w:sz w:val="19"/>
          <w:szCs w:val="19"/>
        </w:rPr>
        <w:t xml:space="preserve">, totalizando R$ 4,98 bilhões. Os recursos foram executados em sua plenitude, como mostra o indicador de execução do FNDCT e possibilitaram a articulação de ações de grande </w:t>
      </w:r>
      <w:r>
        <w:rPr>
          <w:rFonts w:ascii="Tahoma" w:hAnsi="Tahoma" w:cs="Tahoma"/>
          <w:sz w:val="19"/>
          <w:szCs w:val="19"/>
        </w:rPr>
        <w:t>relevância</w:t>
      </w:r>
      <w:r w:rsidRPr="00442376">
        <w:rPr>
          <w:rFonts w:ascii="Tahoma" w:hAnsi="Tahoma" w:cs="Tahoma"/>
          <w:sz w:val="19"/>
          <w:szCs w:val="19"/>
        </w:rPr>
        <w:t xml:space="preserve"> por meio de instrumentos não-reembolsáveis</w:t>
      </w:r>
      <w:r>
        <w:rPr>
          <w:rFonts w:ascii="Tahoma" w:hAnsi="Tahoma" w:cs="Tahoma"/>
          <w:sz w:val="19"/>
          <w:szCs w:val="19"/>
        </w:rPr>
        <w:t>.</w:t>
      </w:r>
    </w:p>
    <w:p w14:paraId="6C23F0B8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A efetividade da atuação da Finep se dá através da sua capacidade de apoiar projetos de elevado impacto tecnológico, econômico e social e em diversas regiões do país. O aumento no número de ações e da demanda por apoio representou impacto positivo em termos de contratação de projetos, o que pode ser observado no resultado do indicador de contratações per capita, cujo resultado foi de 3,42 projetos por funcionário, ou seja, 303% da meta estipulada, representando o maior valor da série histórica, superando o valor encontrado em 2022, que foi 2,18.</w:t>
      </w:r>
    </w:p>
    <w:p w14:paraId="39D6A6F3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A elevação da demanda de empresas brasileiras por financiamento reembolsável impactou também o indicador de Liberação de Recursos Reembolsáveis, que superou em 36% a meta prevista para o ano. As liberações de recursos apresentaram aumento de R$ 3 bilhões em relação ao executado no ano anterior.</w:t>
      </w:r>
    </w:p>
    <w:p w14:paraId="7ACF8586" w14:textId="0C01AE54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Mesmo com o contexto de alto volume de recursos, foi possível manter o foco no atendimento à meta estabelecida para o Índice de Equidade Regional (IER) que teve resultado de 32,15%, o que representa 46% a mais do que o estabelecido como meta para ano. O IER foi fortemente impactado pelas ações de subvenção </w:t>
      </w:r>
      <w:r w:rsidRPr="00387686">
        <w:rPr>
          <w:rFonts w:ascii="Tahoma" w:hAnsi="Tahoma" w:cs="Tahoma"/>
          <w:sz w:val="19"/>
          <w:szCs w:val="19"/>
        </w:rPr>
        <w:t>descentralizada correspondendo a 68% das contratações nas regiões Norte, Nordeste e Centro-Oeste, com</w:t>
      </w:r>
      <w:r w:rsidRPr="00442376">
        <w:rPr>
          <w:rFonts w:ascii="Tahoma" w:hAnsi="Tahoma" w:cs="Tahoma"/>
          <w:sz w:val="19"/>
          <w:szCs w:val="19"/>
        </w:rPr>
        <w:t xml:space="preserve"> destaque para a segunda edição do programa Centelha com 75% das contratações nessas regiões. A presença dos produtos de crédito da Finep nessas regiões é diretamente afetada pela existência dos fundos constitucionais de financiamento (Centro-Oeste – FCO; do Nordeste – FNE; e do Norte – FNO) e dos agentes </w:t>
      </w:r>
      <w:r w:rsidRPr="00387686">
        <w:rPr>
          <w:rFonts w:ascii="Tahoma" w:hAnsi="Tahoma" w:cs="Tahoma"/>
          <w:sz w:val="19"/>
          <w:szCs w:val="19"/>
        </w:rPr>
        <w:t xml:space="preserve">financeiros da Finep que os operam. Em 2023 foi perceptível </w:t>
      </w:r>
      <w:r w:rsidRPr="00387686">
        <w:rPr>
          <w:rFonts w:ascii="Tahoma" w:hAnsi="Tahoma" w:cs="Tahoma"/>
          <w:sz w:val="19"/>
          <w:szCs w:val="19"/>
        </w:rPr>
        <w:lastRenderedPageBreak/>
        <w:t>um movimento de aumento da utilização do</w:t>
      </w:r>
      <w:r w:rsidRPr="00442376">
        <w:rPr>
          <w:rFonts w:ascii="Tahoma" w:hAnsi="Tahoma" w:cs="Tahoma"/>
          <w:sz w:val="19"/>
          <w:szCs w:val="19"/>
        </w:rPr>
        <w:t xml:space="preserve"> instrumento crédito nessas regiões em função da atratividade das linhas remuneradas pela Taxa Referencial </w:t>
      </w:r>
      <w:r w:rsidR="00B20C67">
        <w:rPr>
          <w:rFonts w:ascii="Tahoma" w:hAnsi="Tahoma" w:cs="Tahoma"/>
          <w:sz w:val="19"/>
          <w:szCs w:val="19"/>
        </w:rPr>
        <w:t>(</w:t>
      </w:r>
      <w:r w:rsidRPr="00442376">
        <w:rPr>
          <w:rFonts w:ascii="Tahoma" w:hAnsi="Tahoma" w:cs="Tahoma"/>
          <w:sz w:val="19"/>
          <w:szCs w:val="19"/>
        </w:rPr>
        <w:t>TR).</w:t>
      </w:r>
    </w:p>
    <w:p w14:paraId="0642704D" w14:textId="6C70D240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B20C67">
        <w:rPr>
          <w:rFonts w:ascii="Tahoma" w:hAnsi="Tahoma" w:cs="Tahoma"/>
          <w:sz w:val="19"/>
          <w:szCs w:val="19"/>
        </w:rPr>
        <w:t xml:space="preserve">O objetivo estratégico </w:t>
      </w:r>
      <w:r w:rsidR="00B20C67" w:rsidRPr="00B20C67">
        <w:rPr>
          <w:rFonts w:ascii="Tahoma" w:hAnsi="Tahoma" w:cs="Tahoma"/>
          <w:sz w:val="19"/>
          <w:szCs w:val="19"/>
        </w:rPr>
        <w:t xml:space="preserve">de </w:t>
      </w:r>
      <w:r w:rsidR="00DC1411">
        <w:rPr>
          <w:rFonts w:ascii="Tahoma" w:hAnsi="Tahoma" w:cs="Tahoma"/>
          <w:sz w:val="19"/>
          <w:szCs w:val="19"/>
        </w:rPr>
        <w:t>‘</w:t>
      </w:r>
      <w:r w:rsidR="00B20C67" w:rsidRPr="00B20C67">
        <w:rPr>
          <w:rFonts w:ascii="Tahoma" w:hAnsi="Tahoma" w:cs="Tahoma"/>
          <w:sz w:val="19"/>
          <w:szCs w:val="19"/>
        </w:rPr>
        <w:t>estimular</w:t>
      </w:r>
      <w:r w:rsidRPr="00B20C67">
        <w:rPr>
          <w:rFonts w:ascii="Tahoma" w:hAnsi="Tahoma" w:cs="Tahoma"/>
          <w:sz w:val="19"/>
          <w:szCs w:val="19"/>
        </w:rPr>
        <w:t xml:space="preserve"> o empreendedorismo e o desenvolvimento de inovações, especialmente em Micro, Pequenas e Médias Empresas </w:t>
      </w:r>
      <w:r w:rsidR="00DC1411">
        <w:rPr>
          <w:rFonts w:ascii="Tahoma" w:hAnsi="Tahoma" w:cs="Tahoma"/>
          <w:sz w:val="19"/>
          <w:szCs w:val="19"/>
        </w:rPr>
        <w:t>–</w:t>
      </w:r>
      <w:r w:rsidRPr="00B20C67">
        <w:rPr>
          <w:rFonts w:ascii="Tahoma" w:hAnsi="Tahoma" w:cs="Tahoma"/>
          <w:sz w:val="19"/>
          <w:szCs w:val="19"/>
        </w:rPr>
        <w:t xml:space="preserve"> MPMEs</w:t>
      </w:r>
      <w:r w:rsidR="00DC1411">
        <w:rPr>
          <w:rFonts w:ascii="Tahoma" w:hAnsi="Tahoma" w:cs="Tahoma"/>
          <w:sz w:val="19"/>
          <w:szCs w:val="19"/>
        </w:rPr>
        <w:t>’</w:t>
      </w:r>
      <w:r w:rsidRPr="00B20C67">
        <w:rPr>
          <w:rFonts w:ascii="Tahoma" w:hAnsi="Tahoma" w:cs="Tahoma"/>
          <w:sz w:val="19"/>
          <w:szCs w:val="19"/>
        </w:rPr>
        <w:t xml:space="preserve"> </w:t>
      </w:r>
      <w:r w:rsidRPr="00442376">
        <w:rPr>
          <w:rFonts w:ascii="Tahoma" w:hAnsi="Tahoma" w:cs="Tahoma"/>
          <w:sz w:val="19"/>
          <w:szCs w:val="19"/>
        </w:rPr>
        <w:t>foi atendido pelo fortalecimento da atuação por meio de agentes e parceiros no crédito e subvenção econômica, na operação descentralizada</w:t>
      </w:r>
      <w:r w:rsidRPr="00387686">
        <w:rPr>
          <w:rFonts w:ascii="Tahoma" w:hAnsi="Tahoma" w:cs="Tahoma"/>
          <w:sz w:val="19"/>
          <w:szCs w:val="19"/>
        </w:rPr>
        <w:t>. No total foram apoiadas 1.328 empresas classificadas como MPMEs em 2023 (645 em 2022). Estas representaram 93,65% da carteira de empresas apoiadas da Finep. A subvenção econômica e o crédito, operados de forma descentralizada, foram responsáveis por 82% do resultado alcançado pelo indicador. Em relação ao crédito descentralizado, cabe destacar o aumento do número de operações contratadas que passou de 152 em 2022 para mais de 600 em 2023, um crescimento de 270%.</w:t>
      </w:r>
    </w:p>
    <w:p w14:paraId="3DDAEEF3" w14:textId="7A2B8E46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B20C67">
        <w:rPr>
          <w:rFonts w:ascii="Tahoma" w:hAnsi="Tahoma" w:cs="Tahoma"/>
          <w:sz w:val="19"/>
          <w:szCs w:val="19"/>
        </w:rPr>
        <w:t xml:space="preserve">A Dimensão Processos Internos da </w:t>
      </w:r>
      <w:r w:rsidR="00B20C67">
        <w:rPr>
          <w:rFonts w:ascii="Tahoma" w:hAnsi="Tahoma" w:cs="Tahoma"/>
          <w:sz w:val="19"/>
          <w:szCs w:val="19"/>
        </w:rPr>
        <w:t>e</w:t>
      </w:r>
      <w:r w:rsidRPr="00442376">
        <w:rPr>
          <w:rFonts w:ascii="Tahoma" w:hAnsi="Tahoma" w:cs="Tahoma"/>
          <w:sz w:val="19"/>
          <w:szCs w:val="19"/>
        </w:rPr>
        <w:t>stratégia compreende</w:t>
      </w:r>
      <w:r w:rsidR="00B20C67">
        <w:rPr>
          <w:rFonts w:ascii="Tahoma" w:hAnsi="Tahoma" w:cs="Tahoma"/>
          <w:sz w:val="19"/>
          <w:szCs w:val="19"/>
        </w:rPr>
        <w:t>u</w:t>
      </w:r>
      <w:r w:rsidRPr="00442376">
        <w:rPr>
          <w:rFonts w:ascii="Tahoma" w:hAnsi="Tahoma" w:cs="Tahoma"/>
          <w:sz w:val="19"/>
          <w:szCs w:val="19"/>
        </w:rPr>
        <w:t xml:space="preserve"> objetivos com foco na maximização da eficiência organizacional e no processo de transformação digital da Finep, ou seja, na melhoria contínua da relação entre recursos aplicados e produção de resultados. Neste sentido, destacamos a superação das metas de tempo de contratação de projetos de crédito e de encerramento de instrumentos contratuais não-reembolsáveis.</w:t>
      </w:r>
    </w:p>
    <w:p w14:paraId="130DA3DE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O resultado referente à redução do tempo de contratação de projetos de crédito é importante quando confrontado com o aumento da demanda por crédito direto. As contratações nesta modalidade foram 44% maiores em 2023, em relação a 2022.</w:t>
      </w:r>
    </w:p>
    <w:p w14:paraId="0D5428FC" w14:textId="5450A6F9" w:rsidR="000C7E53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No entanto, o indicador que med</w:t>
      </w:r>
      <w:r w:rsidR="00DC1411">
        <w:rPr>
          <w:rFonts w:ascii="Tahoma" w:hAnsi="Tahoma" w:cs="Tahoma"/>
          <w:sz w:val="19"/>
          <w:szCs w:val="19"/>
        </w:rPr>
        <w:t>iu</w:t>
      </w:r>
      <w:r w:rsidRPr="00442376">
        <w:rPr>
          <w:rFonts w:ascii="Tahoma" w:hAnsi="Tahoma" w:cs="Tahoma"/>
          <w:sz w:val="19"/>
          <w:szCs w:val="19"/>
        </w:rPr>
        <w:t xml:space="preserve"> o tempo de processamento das chamadas públicas, desde seu lançamento, até a aprovação e divulgação dos resultados (Tempo médio de processamento não reembolsável - TMNR) não teve resultado favorável no ano, ficando abaixo da meta estabelecida. Este resultado reflete a necessidade de aprimoramento e automação desse processo, o que está sendo enfrentado por meio de uma iniciativa estratégica para a implementação do novo sistema de análise e acompanhamento de projetos de financiamento não-reembolsável a ICTs e de subvenção econômicas a empresas.</w:t>
      </w:r>
    </w:p>
    <w:p w14:paraId="2AC2C17D" w14:textId="796AAA7D" w:rsidR="008F07E9" w:rsidRPr="00442376" w:rsidRDefault="008F07E9" w:rsidP="008F07E9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8F07E9">
        <w:rPr>
          <w:rFonts w:ascii="Tahoma" w:hAnsi="Tahoma" w:cs="Tahoma"/>
          <w:sz w:val="19"/>
          <w:szCs w:val="19"/>
        </w:rPr>
        <w:t>Em que pese o resultado do indicador TMNR encaminhado à Secretaria de Coordenação e Governança das Empresas Estatais, há que se fazer uma correção envolvendo dois aspectos fundamentais para o cálculo do tempo médio de processamento de chamadas não reembolsáveis: a exclusão do tempo de paralisação do processamento das chamadas públicas ocorrida entre 05/04 e 28/06/2023 e a eliminação do viés introduzido pela fórmula de cálculo do indicador, que exacerba o efeito de chamadas com muitas</w:t>
      </w:r>
      <w:r>
        <w:rPr>
          <w:rFonts w:ascii="Tahoma" w:hAnsi="Tahoma" w:cs="Tahoma"/>
          <w:sz w:val="19"/>
          <w:szCs w:val="19"/>
        </w:rPr>
        <w:t xml:space="preserve"> </w:t>
      </w:r>
      <w:r w:rsidRPr="008F07E9">
        <w:rPr>
          <w:rFonts w:ascii="Tahoma" w:hAnsi="Tahoma" w:cs="Tahoma"/>
          <w:sz w:val="19"/>
          <w:szCs w:val="19"/>
        </w:rPr>
        <w:t xml:space="preserve">propostas, ao invés de mitigá-lo. Com essas correções, o resultado do indicador </w:t>
      </w:r>
      <w:r w:rsidR="00594461">
        <w:rPr>
          <w:rFonts w:ascii="Tahoma" w:hAnsi="Tahoma" w:cs="Tahoma"/>
          <w:sz w:val="19"/>
          <w:szCs w:val="19"/>
        </w:rPr>
        <w:t>seria</w:t>
      </w:r>
      <w:r w:rsidRPr="008F07E9">
        <w:rPr>
          <w:rFonts w:ascii="Tahoma" w:hAnsi="Tahoma" w:cs="Tahoma"/>
          <w:sz w:val="19"/>
          <w:szCs w:val="19"/>
        </w:rPr>
        <w:t xml:space="preserve"> de 137 dias – atendendo, portanto, à meta de 154 dias.</w:t>
      </w:r>
    </w:p>
    <w:p w14:paraId="70B4FAE6" w14:textId="5781E896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Relacionadas aos </w:t>
      </w:r>
      <w:r w:rsidRPr="00DC1411">
        <w:rPr>
          <w:rFonts w:ascii="Tahoma" w:hAnsi="Tahoma" w:cs="Tahoma"/>
          <w:sz w:val="19"/>
          <w:szCs w:val="19"/>
        </w:rPr>
        <w:t xml:space="preserve">objetivos </w:t>
      </w:r>
      <w:r w:rsidR="00DC1411" w:rsidRPr="00DC1411">
        <w:rPr>
          <w:rFonts w:ascii="Tahoma" w:hAnsi="Tahoma" w:cs="Tahoma"/>
          <w:sz w:val="19"/>
          <w:szCs w:val="19"/>
        </w:rPr>
        <w:t xml:space="preserve">de </w:t>
      </w:r>
      <w:r w:rsidR="00DC1411">
        <w:rPr>
          <w:rFonts w:ascii="Tahoma" w:hAnsi="Tahoma" w:cs="Tahoma"/>
          <w:sz w:val="19"/>
          <w:szCs w:val="19"/>
        </w:rPr>
        <w:t>‘</w:t>
      </w:r>
      <w:r w:rsidR="00DC1411" w:rsidRPr="00DC1411">
        <w:rPr>
          <w:rFonts w:ascii="Tahoma" w:hAnsi="Tahoma" w:cs="Tahoma"/>
          <w:sz w:val="19"/>
          <w:szCs w:val="19"/>
        </w:rPr>
        <w:t>aprimorar</w:t>
      </w:r>
      <w:r w:rsidRPr="00DC1411">
        <w:rPr>
          <w:rFonts w:ascii="Tahoma" w:hAnsi="Tahoma" w:cs="Tahoma"/>
          <w:sz w:val="19"/>
          <w:szCs w:val="19"/>
        </w:rPr>
        <w:t xml:space="preserve"> a eficiência organizacional, racionalizando recursos</w:t>
      </w:r>
      <w:r w:rsidR="00DC1411">
        <w:rPr>
          <w:rFonts w:ascii="Tahoma" w:hAnsi="Tahoma" w:cs="Tahoma"/>
          <w:sz w:val="19"/>
          <w:szCs w:val="19"/>
        </w:rPr>
        <w:t>’</w:t>
      </w:r>
      <w:r w:rsidRPr="00DC1411">
        <w:rPr>
          <w:rFonts w:ascii="Tahoma" w:hAnsi="Tahoma" w:cs="Tahoma"/>
          <w:sz w:val="19"/>
          <w:szCs w:val="19"/>
        </w:rPr>
        <w:t xml:space="preserve"> e de </w:t>
      </w:r>
      <w:r w:rsidR="00DC1411">
        <w:rPr>
          <w:rFonts w:ascii="Tahoma" w:hAnsi="Tahoma" w:cs="Tahoma"/>
          <w:sz w:val="19"/>
          <w:szCs w:val="19"/>
        </w:rPr>
        <w:t>‘p</w:t>
      </w:r>
      <w:r w:rsidRPr="00DC1411">
        <w:rPr>
          <w:rFonts w:ascii="Tahoma" w:hAnsi="Tahoma" w:cs="Tahoma"/>
          <w:sz w:val="19"/>
          <w:szCs w:val="19"/>
        </w:rPr>
        <w:t>romover a inovação corporativa e a maturidade digital da Finep</w:t>
      </w:r>
      <w:r w:rsidR="00DC1411">
        <w:rPr>
          <w:rFonts w:ascii="Tahoma" w:hAnsi="Tahoma" w:cs="Tahoma"/>
          <w:sz w:val="19"/>
          <w:szCs w:val="19"/>
        </w:rPr>
        <w:t>’</w:t>
      </w:r>
      <w:r w:rsidRPr="00DC1411">
        <w:rPr>
          <w:rFonts w:ascii="Tahoma" w:hAnsi="Tahoma" w:cs="Tahoma"/>
          <w:sz w:val="19"/>
          <w:szCs w:val="19"/>
        </w:rPr>
        <w:t xml:space="preserve"> </w:t>
      </w:r>
      <w:r w:rsidRPr="00442376">
        <w:rPr>
          <w:rFonts w:ascii="Tahoma" w:hAnsi="Tahoma" w:cs="Tahoma"/>
          <w:sz w:val="19"/>
          <w:szCs w:val="19"/>
        </w:rPr>
        <w:t xml:space="preserve">destacaram-se as iniciativas estratégicas que possibilitaram a estruturação do </w:t>
      </w:r>
      <w:r w:rsidRPr="00254F4A">
        <w:rPr>
          <w:rFonts w:ascii="Tahoma" w:hAnsi="Tahoma"/>
          <w:i/>
          <w:sz w:val="19"/>
        </w:rPr>
        <w:t>roadmap</w:t>
      </w:r>
      <w:r w:rsidRPr="00442376">
        <w:rPr>
          <w:rFonts w:ascii="Tahoma" w:hAnsi="Tahoma" w:cs="Tahoma"/>
          <w:sz w:val="19"/>
          <w:szCs w:val="19"/>
        </w:rPr>
        <w:t xml:space="preserve"> da Estratégia Digital e a continuidade da automação de processos críticos da empresa como os processos de gestão financeira.</w:t>
      </w:r>
      <w:r>
        <w:rPr>
          <w:rFonts w:ascii="Tahoma" w:hAnsi="Tahoma" w:cs="Tahoma"/>
          <w:sz w:val="19"/>
          <w:szCs w:val="19"/>
        </w:rPr>
        <w:t xml:space="preserve"> </w:t>
      </w:r>
      <w:r w:rsidRPr="00442376">
        <w:rPr>
          <w:rFonts w:ascii="Tahoma" w:hAnsi="Tahoma" w:cs="Tahoma"/>
          <w:sz w:val="19"/>
          <w:szCs w:val="19"/>
        </w:rPr>
        <w:t>No âmbito do objetivo</w:t>
      </w:r>
      <w:r w:rsidR="00DC1411">
        <w:rPr>
          <w:rFonts w:ascii="Tahoma" w:hAnsi="Tahoma" w:cs="Tahoma"/>
          <w:sz w:val="19"/>
          <w:szCs w:val="19"/>
        </w:rPr>
        <w:t xml:space="preserve"> para</w:t>
      </w:r>
      <w:r w:rsidRPr="00442376">
        <w:rPr>
          <w:rFonts w:ascii="Tahoma" w:hAnsi="Tahoma" w:cs="Tahoma"/>
          <w:sz w:val="19"/>
          <w:szCs w:val="19"/>
        </w:rPr>
        <w:t xml:space="preserve"> </w:t>
      </w:r>
      <w:r w:rsidR="00DC1411">
        <w:rPr>
          <w:rFonts w:ascii="Tahoma" w:hAnsi="Tahoma" w:cs="Tahoma"/>
          <w:sz w:val="19"/>
          <w:szCs w:val="19"/>
        </w:rPr>
        <w:t>‘</w:t>
      </w:r>
      <w:r w:rsidR="00DC1411" w:rsidRPr="00DC1411">
        <w:rPr>
          <w:rFonts w:ascii="Tahoma" w:hAnsi="Tahoma" w:cs="Tahoma"/>
          <w:sz w:val="19"/>
          <w:szCs w:val="19"/>
        </w:rPr>
        <w:t>e</w:t>
      </w:r>
      <w:r w:rsidRPr="00DC1411">
        <w:rPr>
          <w:rFonts w:ascii="Tahoma" w:hAnsi="Tahoma" w:cs="Tahoma"/>
          <w:sz w:val="19"/>
          <w:szCs w:val="19"/>
        </w:rPr>
        <w:t>stabelecer novas formas de programas, produtos e serviços para atender aos desafios da sociedade</w:t>
      </w:r>
      <w:r w:rsidR="00DC1411">
        <w:rPr>
          <w:rFonts w:ascii="Tahoma" w:hAnsi="Tahoma" w:cs="Tahoma"/>
          <w:sz w:val="19"/>
          <w:szCs w:val="19"/>
        </w:rPr>
        <w:t>’</w:t>
      </w:r>
      <w:r w:rsidRPr="00442376">
        <w:rPr>
          <w:rFonts w:ascii="Tahoma" w:hAnsi="Tahoma" w:cs="Tahoma"/>
          <w:sz w:val="19"/>
          <w:szCs w:val="19"/>
        </w:rPr>
        <w:t>, destaca</w:t>
      </w:r>
      <w:r w:rsidR="00DC1411">
        <w:rPr>
          <w:rFonts w:ascii="Tahoma" w:hAnsi="Tahoma" w:cs="Tahoma"/>
          <w:sz w:val="19"/>
          <w:szCs w:val="19"/>
        </w:rPr>
        <w:t>-se</w:t>
      </w:r>
      <w:r w:rsidRPr="00442376">
        <w:rPr>
          <w:rFonts w:ascii="Tahoma" w:hAnsi="Tahoma" w:cs="Tahoma"/>
          <w:sz w:val="19"/>
          <w:szCs w:val="19"/>
        </w:rPr>
        <w:t xml:space="preserve"> a estruturação das linhas do </w:t>
      </w:r>
      <w:hyperlink r:id="rId33" w:history="1">
        <w:r w:rsidRPr="00442376">
          <w:rPr>
            <w:rStyle w:val="Hyperlink"/>
            <w:rFonts w:ascii="Tahoma" w:hAnsi="Tahoma" w:cs="Tahoma"/>
            <w:sz w:val="19"/>
            <w:szCs w:val="19"/>
          </w:rPr>
          <w:t>Programa Finep Mais Inovação</w:t>
        </w:r>
      </w:hyperlink>
      <w:r w:rsidRPr="00442376">
        <w:rPr>
          <w:rFonts w:ascii="Tahoma" w:hAnsi="Tahoma" w:cs="Tahoma"/>
          <w:sz w:val="19"/>
          <w:szCs w:val="19"/>
        </w:rPr>
        <w:t>.</w:t>
      </w:r>
    </w:p>
    <w:p w14:paraId="6A0A41F6" w14:textId="2EFD514D" w:rsidR="000C7E53" w:rsidRPr="00442376" w:rsidRDefault="000C7E53" w:rsidP="000C7E53">
      <w:pPr>
        <w:shd w:val="clear" w:color="auto" w:fill="FFFFFF" w:themeFill="background1"/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Em relação </w:t>
      </w:r>
      <w:r w:rsidRPr="00DC1411">
        <w:rPr>
          <w:rFonts w:ascii="Tahoma" w:hAnsi="Tahoma" w:cs="Tahoma"/>
          <w:sz w:val="19"/>
          <w:szCs w:val="19"/>
        </w:rPr>
        <w:t xml:space="preserve">à Dimensão de Recursos e Competências </w:t>
      </w:r>
      <w:r w:rsidRPr="00442376">
        <w:rPr>
          <w:rFonts w:ascii="Tahoma" w:hAnsi="Tahoma" w:cs="Tahoma"/>
          <w:sz w:val="19"/>
          <w:szCs w:val="19"/>
        </w:rPr>
        <w:t>destac</w:t>
      </w:r>
      <w:r w:rsidR="00DC1411">
        <w:rPr>
          <w:rFonts w:ascii="Tahoma" w:hAnsi="Tahoma" w:cs="Tahoma"/>
          <w:sz w:val="19"/>
          <w:szCs w:val="19"/>
        </w:rPr>
        <w:t>ou-se</w:t>
      </w:r>
      <w:r w:rsidRPr="00442376">
        <w:rPr>
          <w:rFonts w:ascii="Tahoma" w:hAnsi="Tahoma" w:cs="Tahoma"/>
          <w:sz w:val="19"/>
          <w:szCs w:val="19"/>
        </w:rPr>
        <w:t xml:space="preserve"> a iniciativa estratégica de estruturação do processo seletivo público para contratação de novos empregados, que caminhou em conjunto com a ampliação de critérios de ação afirmativa para pessoas com deficiência naquele processo. Outra ação realizada no ano relacionada ao programa </w:t>
      </w:r>
      <w:r w:rsidRPr="00442376">
        <w:rPr>
          <w:rFonts w:ascii="Tahoma" w:hAnsi="Tahoma" w:cs="Tahoma"/>
          <w:sz w:val="19"/>
          <w:szCs w:val="19"/>
        </w:rPr>
        <w:lastRenderedPageBreak/>
        <w:t>de diversidade, foi a criação do Comitê Executivo de Diversidade e Sustentabilidade e a aprovação da Política de Promoção de Equidade.</w:t>
      </w:r>
    </w:p>
    <w:p w14:paraId="269176AD" w14:textId="37E8FA9E" w:rsidR="000C7E53" w:rsidRPr="00442376" w:rsidRDefault="000C7E53" w:rsidP="000C7E53">
      <w:pPr>
        <w:shd w:val="clear" w:color="auto" w:fill="FFFFFF" w:themeFill="background1"/>
        <w:spacing w:before="120" w:after="120" w:line="360" w:lineRule="auto"/>
        <w:jc w:val="both"/>
        <w:rPr>
          <w:rFonts w:ascii="Tahoma" w:eastAsia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 xml:space="preserve">A dimensão financeira também teve um desempenho de destaque, com percentual médio de atingimento de metas de indicadores financeiros de 162% para cumprimento do </w:t>
      </w:r>
      <w:r w:rsidR="00DC1411">
        <w:rPr>
          <w:rFonts w:ascii="Tahoma" w:hAnsi="Tahoma" w:cs="Tahoma"/>
          <w:sz w:val="19"/>
          <w:szCs w:val="19"/>
        </w:rPr>
        <w:t>o</w:t>
      </w:r>
      <w:r w:rsidRPr="00442376">
        <w:rPr>
          <w:rFonts w:ascii="Tahoma" w:hAnsi="Tahoma" w:cs="Tahoma"/>
          <w:sz w:val="19"/>
          <w:szCs w:val="19"/>
        </w:rPr>
        <w:t xml:space="preserve">bjetivo </w:t>
      </w:r>
      <w:r w:rsidR="00DC1411">
        <w:rPr>
          <w:rFonts w:ascii="Tahoma" w:hAnsi="Tahoma" w:cs="Tahoma"/>
          <w:sz w:val="19"/>
          <w:szCs w:val="19"/>
        </w:rPr>
        <w:t>e</w:t>
      </w:r>
      <w:r w:rsidRPr="00442376">
        <w:rPr>
          <w:rFonts w:ascii="Tahoma" w:hAnsi="Tahoma" w:cs="Tahoma"/>
          <w:sz w:val="19"/>
          <w:szCs w:val="19"/>
        </w:rPr>
        <w:t xml:space="preserve">stratégico </w:t>
      </w:r>
      <w:r w:rsidR="00DC1411">
        <w:rPr>
          <w:rFonts w:ascii="Tahoma" w:hAnsi="Tahoma" w:cs="Tahoma"/>
          <w:sz w:val="19"/>
          <w:szCs w:val="19"/>
        </w:rPr>
        <w:t>de ‘</w:t>
      </w:r>
      <w:r w:rsidR="00DC1411" w:rsidRPr="00DC1411">
        <w:rPr>
          <w:rFonts w:ascii="Tahoma" w:hAnsi="Tahoma" w:cs="Tahoma"/>
          <w:sz w:val="19"/>
          <w:szCs w:val="19"/>
        </w:rPr>
        <w:t>a</w:t>
      </w:r>
      <w:r w:rsidRPr="00DC1411">
        <w:rPr>
          <w:rFonts w:ascii="Tahoma" w:hAnsi="Tahoma" w:cs="Tahoma"/>
          <w:sz w:val="19"/>
          <w:szCs w:val="19"/>
        </w:rPr>
        <w:t>ssegurar o equilíbrio entre fontes e uso de recursos financeiros em prol da sustentabilidade financeira da empresa</w:t>
      </w:r>
      <w:r w:rsidR="00DC1411">
        <w:rPr>
          <w:rFonts w:ascii="Tahoma" w:hAnsi="Tahoma" w:cs="Tahoma"/>
          <w:sz w:val="19"/>
          <w:szCs w:val="19"/>
        </w:rPr>
        <w:t>’</w:t>
      </w:r>
      <w:r w:rsidRPr="00442376">
        <w:rPr>
          <w:rFonts w:ascii="Tahoma" w:hAnsi="Tahoma" w:cs="Tahoma"/>
          <w:sz w:val="19"/>
          <w:szCs w:val="19"/>
        </w:rPr>
        <w:t>.</w:t>
      </w:r>
    </w:p>
    <w:p w14:paraId="35828B70" w14:textId="77777777" w:rsidR="000C7E53" w:rsidRPr="00442376" w:rsidRDefault="000C7E53" w:rsidP="000C7E53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442376">
        <w:rPr>
          <w:rFonts w:ascii="Tahoma" w:hAnsi="Tahoma" w:cs="Tahoma"/>
          <w:sz w:val="19"/>
          <w:szCs w:val="19"/>
        </w:rPr>
        <w:t>Esse bom resultado é consequência do aumento de 70,2% na Receita Operacional, componente dos indicadores Produtividade per Capita e Cobertura de Despesas Administrativas, em relação a 2022. A Receita Operacional atingiu o valor de R$ 988 milhões (R$ 580,6 milhões, em 2022) impactada pelo crescimento da carteira de crédito, consolidando a reversão de uma tendência de queda equivalente a 7,9% ao ano. Outro ponto que influenciou positivamente os indicadores financeiros foi a redução significativa da despesa de intermediação financeira de R$ 736,2 milhões em 2022 para R$ 182 milhões em 2023. Essas são despesas compostas em parte pelos juros e encargos das operações de empréstimos e repasses, que foram impactadas pela aplicação da TR em substituição à TJLP em seu cálculo.</w:t>
      </w:r>
    </w:p>
    <w:p w14:paraId="5BACE182" w14:textId="77777777" w:rsidR="009E7414" w:rsidRDefault="00BD4FB4" w:rsidP="002F4A1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>O</w:t>
      </w:r>
      <w:r w:rsidR="00352C83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desempenho da Finep 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é</w:t>
      </w:r>
      <w:r w:rsidR="00352C83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monitorado </w:t>
      </w:r>
      <w:r w:rsidR="00F128A6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trimestralmente </w:t>
      </w:r>
      <w:r w:rsidR="00352C83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com base em indicadores corporativos cujos resultados refletem o empenho de todos </w:t>
      </w:r>
      <w:r w:rsidR="00963B9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os empregados </w:t>
      </w:r>
      <w:r w:rsidR="00352C83" w:rsidRPr="00AD69B9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para o alcance dos objetivos estratégicos priorizados na </w:t>
      </w:r>
      <w:r w:rsidR="002F4A10">
        <w:rPr>
          <w:rFonts w:ascii="Tahoma" w:eastAsia="SimSun" w:hAnsi="Tahoma" w:cs="Tahoma"/>
          <w:kern w:val="3"/>
          <w:sz w:val="19"/>
          <w:szCs w:val="19"/>
          <w:lang w:bidi="hi-IN"/>
        </w:rPr>
        <w:t>ELPPN da empresa.</w:t>
      </w:r>
    </w:p>
    <w:p w14:paraId="673A0784" w14:textId="2F3D3F29" w:rsidR="005A2CD2" w:rsidRDefault="005A2CD2" w:rsidP="002F4A1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Times New Roman" w:hAnsi="Tahoma" w:cs="Tahoma"/>
          <w:sz w:val="19"/>
          <w:szCs w:val="19"/>
          <w:lang w:eastAsia="pt-BR"/>
        </w:rPr>
      </w:pPr>
      <w:r>
        <w:rPr>
          <w:rFonts w:ascii="Tahoma" w:eastAsia="Times New Roman" w:hAnsi="Tahoma" w:cs="Tahoma"/>
          <w:sz w:val="19"/>
          <w:szCs w:val="19"/>
          <w:lang w:eastAsia="pt-BR"/>
        </w:rPr>
        <w:br w:type="page"/>
      </w:r>
    </w:p>
    <w:p w14:paraId="393E86CD" w14:textId="11522DC5" w:rsidR="00567FB2" w:rsidRDefault="00567FB2" w:rsidP="00106340">
      <w:pPr>
        <w:pStyle w:val="PargrafodaLista"/>
        <w:keepNext/>
        <w:keepLines/>
        <w:numPr>
          <w:ilvl w:val="0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b/>
          <w:bCs/>
          <w:color w:val="DD4F0B"/>
          <w:sz w:val="24"/>
          <w:szCs w:val="24"/>
          <w:lang w:eastAsia="pt-BR"/>
        </w:rPr>
      </w:pPr>
      <w:bookmarkStart w:id="21" w:name="_Toc166575250"/>
      <w:bookmarkStart w:id="22" w:name="_Toc49448287"/>
      <w:bookmarkStart w:id="23" w:name="_Toc71730108"/>
      <w:r w:rsidRPr="007752C3">
        <w:rPr>
          <w:rFonts w:ascii="Tahoma" w:eastAsia="Times New Roman" w:hAnsi="Tahoma" w:cs="Tahoma"/>
          <w:b/>
          <w:bCs/>
          <w:color w:val="DD4F0B"/>
          <w:sz w:val="24"/>
          <w:szCs w:val="24"/>
          <w:lang w:eastAsia="pt-BR"/>
        </w:rPr>
        <w:lastRenderedPageBreak/>
        <w:t>Governança corporativa</w:t>
      </w:r>
      <w:bookmarkStart w:id="24" w:name="_Toc134436106"/>
      <w:bookmarkEnd w:id="21"/>
      <w:bookmarkEnd w:id="24"/>
    </w:p>
    <w:p w14:paraId="431CEE16" w14:textId="03FA4596" w:rsidR="00247669" w:rsidRPr="007752C3" w:rsidRDefault="00247669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25" w:name="_Toc166575251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Atividades desenvolvidas</w:t>
      </w:r>
      <w:r w:rsidR="00BA6DF6"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 xml:space="preserve"> pela empresa</w:t>
      </w:r>
      <w:bookmarkEnd w:id="25"/>
    </w:p>
    <w:p w14:paraId="702AFE23" w14:textId="7DE294D4" w:rsid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Com um portfólio diverso de programas, a Finep busca atender as prioridades expressas pela política nacional de CT&amp;I, renovando continuamente a forma executar seu objeto social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. </w:t>
      </w: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relação dos programas e produtos da Finep pode ser encontrada em </w:t>
      </w:r>
      <w:hyperlink r:id="rId34" w:history="1">
        <w:r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http://www.finep.gov.br/acoes-e-programas</w:t>
        </w:r>
      </w:hyperlink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A Figura </w:t>
      </w:r>
      <w:r w:rsidR="00E02255">
        <w:rPr>
          <w:rFonts w:ascii="Tahoma" w:eastAsia="SimSun" w:hAnsi="Tahoma" w:cs="Tahoma"/>
          <w:kern w:val="3"/>
          <w:sz w:val="19"/>
          <w:szCs w:val="19"/>
          <w:lang w:bidi="hi-IN"/>
        </w:rPr>
        <w:t>1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apresenta os referenciais estratégicos adotados pela empresa.</w:t>
      </w:r>
    </w:p>
    <w:p w14:paraId="4520E454" w14:textId="77777777" w:rsidR="004700C0" w:rsidRDefault="004700C0" w:rsidP="00B74E9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FD56C4C" w14:textId="2AA9D08B" w:rsidR="004700C0" w:rsidRPr="00D94D71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D94D71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Figura </w:t>
      </w:r>
      <w:r w:rsidR="00E0225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1</w:t>
      </w:r>
      <w:r w:rsidRPr="00D94D71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– Referenciais estratégicos da Finep</w:t>
      </w:r>
    </w:p>
    <w:p w14:paraId="49A87327" w14:textId="57FE44C8" w:rsidR="004700C0" w:rsidRDefault="00E422A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923A56">
        <w:rPr>
          <w:rFonts w:ascii="Tahoma" w:hAnsi="Tahoma" w:cs="Tahoma"/>
          <w:noProof/>
          <w:sz w:val="19"/>
          <w:szCs w:val="19"/>
        </w:rPr>
        <w:drawing>
          <wp:inline distT="0" distB="0" distL="0" distR="0" wp14:anchorId="50A182D3" wp14:editId="1262BC5D">
            <wp:extent cx="4606506" cy="4605694"/>
            <wp:effectExtent l="0" t="0" r="3810" b="4445"/>
            <wp:docPr id="1510626530" name="Imagem 1" descr="Gráfic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26530" name="Imagem 1510626530" descr="Gráfico, Diagram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8215" cy="46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272D" w14:textId="77777777" w:rsidR="00B74E96" w:rsidRPr="004700C0" w:rsidRDefault="00B74E96" w:rsidP="00B74E96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Fonte: Relatório de Gestão 202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da Finep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</w:t>
      </w:r>
      <w:hyperlink r:id="rId36" w:history="1">
        <w:r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http://www.finep.gov.br/transparencia-finep/relatorios-do-fndct/relatorios-de-gestao</w:t>
        </w:r>
      </w:hyperlink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4B7C88C0" w14:textId="77777777" w:rsidR="00E422A0" w:rsidRDefault="00E422A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665903B2" w14:textId="7FF7E9FC" w:rsid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CC7D9D">
        <w:rPr>
          <w:rFonts w:ascii="Tahoma" w:eastAsia="SimSun" w:hAnsi="Tahoma" w:cs="Tahoma"/>
          <w:kern w:val="3"/>
          <w:sz w:val="19"/>
          <w:szCs w:val="19"/>
          <w:lang w:bidi="hi-IN"/>
        </w:rPr>
        <w:t>Os processos envolvidos na viabilização de produtos e serviços que chegam a empresas, ICTs e a toda a sociedade estão representados graficamente na cadeia de valor da empresa</w:t>
      </w:r>
      <w:r w:rsidR="00E422A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(ver Figura </w:t>
      </w:r>
      <w:r w:rsidR="00E02255">
        <w:rPr>
          <w:rFonts w:ascii="Tahoma" w:eastAsia="SimSun" w:hAnsi="Tahoma" w:cs="Tahoma"/>
          <w:kern w:val="3"/>
          <w:sz w:val="19"/>
          <w:szCs w:val="19"/>
          <w:lang w:bidi="hi-IN"/>
        </w:rPr>
        <w:t>2</w:t>
      </w:r>
      <w:r w:rsidR="00E422A0">
        <w:rPr>
          <w:rFonts w:ascii="Tahoma" w:eastAsia="SimSun" w:hAnsi="Tahoma" w:cs="Tahoma"/>
          <w:kern w:val="3"/>
          <w:sz w:val="19"/>
          <w:szCs w:val="19"/>
          <w:lang w:bidi="hi-IN"/>
        </w:rPr>
        <w:t>)</w:t>
      </w:r>
      <w:r w:rsidRPr="00CC7D9D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7FEFC297" w14:textId="77777777" w:rsid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C090F85" w14:textId="5DBB998C" w:rsidR="004700C0" w:rsidRPr="00CC7D9D" w:rsidRDefault="004700C0" w:rsidP="00B74E96">
      <w:pPr>
        <w:widowControl w:val="0"/>
        <w:suppressAutoHyphens/>
        <w:autoSpaceDN w:val="0"/>
        <w:spacing w:before="120" w:after="0" w:line="240" w:lineRule="auto"/>
        <w:ind w:left="284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CC7D9D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lastRenderedPageBreak/>
        <w:t xml:space="preserve">Figura </w:t>
      </w:r>
      <w:r w:rsidR="00E0225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2</w:t>
      </w:r>
      <w:r w:rsidRPr="00CC7D9D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- Cadeia de valor da Finep (macroprocessos) – 1º nível</w:t>
      </w:r>
    </w:p>
    <w:p w14:paraId="666EF8D7" w14:textId="71890BB1" w:rsidR="00E422A0" w:rsidRPr="00CC7D9D" w:rsidRDefault="004700C0" w:rsidP="00B74E9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FC4BDA">
        <w:rPr>
          <w:noProof/>
          <w:color w:val="2B579A"/>
          <w:shd w:val="clear" w:color="auto" w:fill="E6E6E6"/>
          <w:lang w:eastAsia="pt-BR"/>
        </w:rPr>
        <w:drawing>
          <wp:inline distT="0" distB="0" distL="0" distR="0" wp14:anchorId="4339A58F" wp14:editId="45833349">
            <wp:extent cx="5557198" cy="3211225"/>
            <wp:effectExtent l="0" t="0" r="5715" b="8255"/>
            <wp:docPr id="243" name="Picture 243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m 243" descr="Gráfico&#10;&#10;Descrição gerada automaticamente com confiança baixa"/>
                    <pic:cNvPicPr/>
                  </pic:nvPicPr>
                  <pic:blipFill rotWithShape="1">
                    <a:blip r:embed="rId37"/>
                    <a:srcRect t="4510"/>
                    <a:stretch/>
                  </pic:blipFill>
                  <pic:spPr bwMode="auto">
                    <a:xfrm>
                      <a:off x="0" y="0"/>
                      <a:ext cx="5658003" cy="326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D0B5C" w14:textId="77777777" w:rsidR="004700C0" w:rsidRDefault="004700C0" w:rsidP="00B74E96">
      <w:pPr>
        <w:widowControl w:val="0"/>
        <w:suppressAutoHyphens/>
        <w:autoSpaceDN w:val="0"/>
        <w:spacing w:after="120" w:line="360" w:lineRule="auto"/>
        <w:ind w:firstLine="284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Fonte: Site da Finep – seção Sobre a Finep - </w:t>
      </w:r>
      <w:hyperlink r:id="rId38" w:history="1">
        <w:r w:rsidRPr="00BB2ECD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http://www.finep.gov.br/a-finep-externo/cadeia-de-valor</w:t>
        </w:r>
      </w:hyperlink>
    </w:p>
    <w:p w14:paraId="2F8FB788" w14:textId="77777777" w:rsidR="004700C0" w:rsidRP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3C6483F2" w14:textId="67FF210B" w:rsidR="004700C0" w:rsidRP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 operação da Finep está representada em um modelo de negócios </w:t>
      </w:r>
      <w:r w:rsidR="00E422A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(Figura </w:t>
      </w:r>
      <w:r w:rsidR="00E02255">
        <w:rPr>
          <w:rFonts w:ascii="Tahoma" w:eastAsia="SimSun" w:hAnsi="Tahoma" w:cs="Tahoma"/>
          <w:kern w:val="3"/>
          <w:sz w:val="19"/>
          <w:szCs w:val="19"/>
          <w:lang w:bidi="hi-IN"/>
        </w:rPr>
        <w:t>3)</w:t>
      </w:r>
      <w:r w:rsidR="00E422A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</w:t>
      </w: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organizado </w:t>
      </w:r>
      <w:r w:rsidR="00E422A0" w:rsidRPr="00E422A0">
        <w:rPr>
          <w:rFonts w:ascii="Tahoma" w:eastAsia="SimSun" w:hAnsi="Tahoma" w:cs="Tahoma"/>
          <w:kern w:val="3"/>
          <w:sz w:val="19"/>
          <w:szCs w:val="19"/>
          <w:lang w:bidi="hi-IN"/>
        </w:rPr>
        <w:t>em três espaços de atuação complementares: Ciência e Tecnologia; Pesquisa, Desenvolvimento e Inovação; e Empreendedorismo Inovador</w:t>
      </w: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77269EDF" w14:textId="77777777" w:rsidR="004700C0" w:rsidRPr="004700C0" w:rsidRDefault="004700C0" w:rsidP="00B74E9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F592D7C" w14:textId="3C7A1A92" w:rsidR="004700C0" w:rsidRPr="00E02255" w:rsidRDefault="004700C0" w:rsidP="00B74E96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 w:rsidRPr="00E0225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Figura </w:t>
      </w:r>
      <w:r w:rsidR="00E02255" w:rsidRPr="00E0225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3</w:t>
      </w:r>
      <w:r w:rsidRPr="00E0225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 – Modelo de negócios da Finep</w:t>
      </w:r>
    </w:p>
    <w:p w14:paraId="2B32CFE8" w14:textId="12D7EFEB" w:rsidR="004700C0" w:rsidRPr="004700C0" w:rsidRDefault="00E422A0" w:rsidP="00B74E96">
      <w:pPr>
        <w:widowControl w:val="0"/>
        <w:suppressAutoHyphens/>
        <w:autoSpaceDN w:val="0"/>
        <w:spacing w:before="120" w:after="0" w:line="24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noProof/>
        </w:rPr>
        <w:drawing>
          <wp:inline distT="0" distB="0" distL="0" distR="0" wp14:anchorId="011BC771" wp14:editId="4A1EE11E">
            <wp:extent cx="5210355" cy="3234905"/>
            <wp:effectExtent l="0" t="0" r="0" b="3810"/>
            <wp:docPr id="1279347356" name="Imagem 2" descr="Linha do tem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0355" cy="32349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5EB34C" w14:textId="6B1F4EA3" w:rsidR="004700C0" w:rsidRPr="004700C0" w:rsidRDefault="004700C0" w:rsidP="004700C0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Fonte: Relatório de Gestão 202</w:t>
      </w:r>
      <w:r w:rsidR="00B74E96">
        <w:rPr>
          <w:rFonts w:ascii="Tahoma" w:eastAsia="SimSun" w:hAnsi="Tahoma" w:cs="Tahoma"/>
          <w:kern w:val="3"/>
          <w:sz w:val="19"/>
          <w:szCs w:val="19"/>
          <w:lang w:bidi="hi-IN"/>
        </w:rPr>
        <w:t>3</w:t>
      </w:r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da Finep</w:t>
      </w:r>
      <w:r w:rsidR="00B74E96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(</w:t>
      </w:r>
      <w:hyperlink r:id="rId40" w:history="1">
        <w:r w:rsidR="00B74E96"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http://www.finep.gov.br/transparencia-finep/relatorios-do-fndct/relatorios-de-gestao</w:t>
        </w:r>
      </w:hyperlink>
      <w:r w:rsidRPr="004700C0"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640CCE78" w14:textId="569042D4" w:rsidR="00D7770D" w:rsidRPr="007752C3" w:rsidRDefault="00567FB2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26" w:name="_Toc166575252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lastRenderedPageBreak/>
        <w:t>Estruturas de controles internos e gerenciamento de risco</w:t>
      </w:r>
      <w:bookmarkEnd w:id="26"/>
    </w:p>
    <w:bookmarkEnd w:id="22"/>
    <w:bookmarkEnd w:id="23"/>
    <w:p w14:paraId="4216D4B2" w14:textId="77777777" w:rsidR="00352FA5" w:rsidRPr="00AB7521" w:rsidRDefault="00352FA5" w:rsidP="00E02255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>A alta administração implementa e supervisiona de maneira sistemática o processo de gestão de riscos e de controles internos estabelecidos para a prevenção e mitigação dos principais riscos a que está́ exposta a Finep a fim de desenvolver uma visão de riscos de forma consolidada.</w:t>
      </w:r>
    </w:p>
    <w:p w14:paraId="00EA7886" w14:textId="57E68455" w:rsidR="00352FA5" w:rsidRPr="00AB7521" w:rsidRDefault="00352FA5" w:rsidP="00E02255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>As funções relativas ao gerenciamento de riscos na Finep, bem como o relacionamento dest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e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>s com as funções de auditoria e órgãos de governança e/ou externos, estão estruturadas de acordo com o conceito do Modelo das Três Linhas, conforme</w:t>
      </w:r>
      <w:r w:rsidR="00E02255">
        <w:rPr>
          <w:rFonts w:ascii="Tahoma" w:hAnsi="Tahoma" w:cs="Tahoma"/>
          <w:color w:val="595959" w:themeColor="text1" w:themeTint="A6"/>
          <w:sz w:val="19"/>
          <w:szCs w:val="19"/>
        </w:rPr>
        <w:t xml:space="preserve"> a Figura 4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>.</w:t>
      </w:r>
    </w:p>
    <w:p w14:paraId="3E1E6793" w14:textId="28C5192D" w:rsidR="00352FA5" w:rsidRPr="00E02255" w:rsidRDefault="00E02255" w:rsidP="00352FA5">
      <w:pPr>
        <w:spacing w:before="100" w:beforeAutospacing="1"/>
        <w:ind w:left="284" w:hanging="284"/>
        <w:jc w:val="center"/>
        <w:rPr>
          <w:rFonts w:ascii="Tahoma" w:hAnsi="Tahoma" w:cs="Tahoma"/>
          <w:i/>
          <w:iCs/>
          <w:sz w:val="19"/>
          <w:szCs w:val="19"/>
        </w:rPr>
      </w:pPr>
      <w:r w:rsidRPr="00E02255">
        <w:rPr>
          <w:rFonts w:ascii="Tahoma" w:hAnsi="Tahoma" w:cs="Tahoma"/>
          <w:i/>
          <w:iCs/>
          <w:sz w:val="19"/>
          <w:szCs w:val="19"/>
        </w:rPr>
        <w:t xml:space="preserve">Figura 4 - </w:t>
      </w:r>
      <w:r w:rsidR="00352FA5" w:rsidRPr="00E02255">
        <w:rPr>
          <w:rFonts w:ascii="Tahoma" w:hAnsi="Tahoma" w:cs="Tahoma"/>
          <w:i/>
          <w:iCs/>
          <w:sz w:val="19"/>
          <w:szCs w:val="19"/>
        </w:rPr>
        <w:t>Modelo das Três Linhas</w:t>
      </w:r>
    </w:p>
    <w:p w14:paraId="2F784367" w14:textId="77777777" w:rsidR="00352FA5" w:rsidRDefault="00352FA5" w:rsidP="00352FA5">
      <w:pPr>
        <w:jc w:val="center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noProof/>
          <w:color w:val="595959" w:themeColor="text1" w:themeTint="A6"/>
          <w:sz w:val="20"/>
          <w:szCs w:val="20"/>
        </w:rPr>
        <w:drawing>
          <wp:inline distT="0" distB="0" distL="0" distR="0" wp14:anchorId="147F75EC" wp14:editId="78DB985A">
            <wp:extent cx="4490042" cy="3390405"/>
            <wp:effectExtent l="0" t="0" r="6350" b="635"/>
            <wp:docPr id="2087886911" name="Imagem 1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1947633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61" cy="33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92EC" w14:textId="77777777" w:rsidR="00352FA5" w:rsidRPr="00AB7521" w:rsidRDefault="00352FA5" w:rsidP="00E02255">
      <w:pPr>
        <w:spacing w:after="100" w:afterAutospacing="1"/>
        <w:ind w:left="284" w:firstLine="1134"/>
        <w:jc w:val="both"/>
        <w:rPr>
          <w:rFonts w:ascii="Tahoma" w:hAnsi="Tahoma" w:cs="Tahoma"/>
          <w:color w:val="595959" w:themeColor="text1" w:themeTint="A6"/>
          <w:sz w:val="18"/>
          <w:szCs w:val="18"/>
        </w:rPr>
      </w:pPr>
      <w:r w:rsidRPr="00AB7521">
        <w:rPr>
          <w:rFonts w:ascii="Tahoma" w:hAnsi="Tahoma" w:cs="Tahoma"/>
          <w:color w:val="595959" w:themeColor="text1" w:themeTint="A6"/>
          <w:sz w:val="18"/>
          <w:szCs w:val="18"/>
        </w:rPr>
        <w:t>Fonte: The IIA, adaptado para a Finep.</w:t>
      </w:r>
    </w:p>
    <w:p w14:paraId="31172CAB" w14:textId="37BAA35B" w:rsidR="00352FA5" w:rsidRPr="00AB7521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Para ampliar e reforçar a governança do tema na Finep, </w:t>
      </w:r>
      <w:r w:rsidR="00E02255">
        <w:rPr>
          <w:rFonts w:ascii="Tahoma" w:hAnsi="Tahoma" w:cs="Tahoma"/>
          <w:color w:val="595959" w:themeColor="text1" w:themeTint="A6"/>
          <w:sz w:val="19"/>
          <w:szCs w:val="19"/>
        </w:rPr>
        <w:t xml:space="preserve">a empresa conta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com o 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>Comitê de Gestão de Riscos (CGR)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,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que se reúne 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periodicamente ao longo do ano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e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tem como finalidade assessorar e subsidiar a Diretoria Executiva nos temas relacionados à Gestão Integrada de Riscos.</w:t>
      </w:r>
    </w:p>
    <w:p w14:paraId="61197A28" w14:textId="77777777" w:rsidR="00352FA5" w:rsidRPr="00AB7521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Adicionalmente,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o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Comitê de Caixa se reúne mensalmente e tem, dentre seus objetivos, orientar os responsáveis pela gestão do fluxo de caixa e captações da Finep sobre as ações estratégicas a serem tomadas para minimizar riscos e manter a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empresa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em situação de liquidez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. U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ma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das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atribuições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 do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Comitê de Caixa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 é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o acompanhamento de variáveis que impactam na gestão do risco de liquidez.</w:t>
      </w:r>
    </w:p>
    <w:p w14:paraId="297028CC" w14:textId="77777777" w:rsidR="00352FA5" w:rsidRPr="00AB7521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>
        <w:rPr>
          <w:rFonts w:ascii="Tahoma" w:hAnsi="Tahoma" w:cs="Tahoma"/>
          <w:color w:val="595959" w:themeColor="text1" w:themeTint="A6"/>
          <w:sz w:val="19"/>
          <w:szCs w:val="19"/>
        </w:rPr>
        <w:t>As atividades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de gestão de riscos são basead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a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s na sua estrutura normativa.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Possuímos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políticas, normas e metodologias padronizadas para identificar, monitorar e gerenciar os riscos significativos relacionados às atividades e processos de negócio (atividade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s</w:t>
      </w: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t xml:space="preserve"> fim), bem como aqueles relacionados às funções de suporte ao negócio.</w:t>
      </w:r>
    </w:p>
    <w:p w14:paraId="0C2DA866" w14:textId="11FDFDC7" w:rsidR="00324F92" w:rsidRPr="00D3109A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AB7521">
        <w:rPr>
          <w:rFonts w:ascii="Tahoma" w:hAnsi="Tahoma" w:cs="Tahoma"/>
          <w:color w:val="595959" w:themeColor="text1" w:themeTint="A6"/>
          <w:sz w:val="19"/>
          <w:szCs w:val="19"/>
        </w:rPr>
        <w:lastRenderedPageBreak/>
        <w:t>As normas listam os procedimentos necessários para se cumprir as etapas de identificação, avaliação, mensuração, mitigação e monitoramento de riscos.</w:t>
      </w:r>
      <w:r w:rsidR="00324F92" w:rsidRPr="00324F92">
        <w:rPr>
          <w:rFonts w:ascii="Tahoma" w:hAnsi="Tahoma" w:cs="Tahoma"/>
          <w:color w:val="595959" w:themeColor="text1" w:themeTint="A6"/>
          <w:sz w:val="19"/>
          <w:szCs w:val="19"/>
        </w:rPr>
        <w:t xml:space="preserve"> </w:t>
      </w:r>
      <w:r w:rsidR="00324F92" w:rsidRPr="00D3109A">
        <w:rPr>
          <w:rFonts w:ascii="Tahoma" w:hAnsi="Tahoma" w:cs="Tahoma"/>
          <w:color w:val="595959" w:themeColor="text1" w:themeTint="A6"/>
          <w:sz w:val="19"/>
          <w:szCs w:val="19"/>
        </w:rPr>
        <w:t>Os processos de identificação, mapeamento, avaliação e mitigação dos riscos contam com o envolvimento dos proprietários de riscos, ou seja, os gestores com alçada para orientar e acompanhar as ações necessárias.</w:t>
      </w:r>
    </w:p>
    <w:p w14:paraId="4ED9F2E6" w14:textId="3B71A61A" w:rsidR="00352FA5" w:rsidRPr="00AB7521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</w:p>
    <w:p w14:paraId="1A4844C3" w14:textId="075AA69D" w:rsidR="00352FA5" w:rsidRDefault="00352FA5" w:rsidP="00ED4061">
      <w:pPr>
        <w:spacing w:before="120" w:after="120" w:line="360" w:lineRule="auto"/>
        <w:jc w:val="both"/>
        <w:rPr>
          <w:rFonts w:ascii="Tahoma" w:hAnsi="Tahoma" w:cs="Tahoma"/>
          <w:color w:val="595959" w:themeColor="text1" w:themeTint="A6"/>
          <w:sz w:val="19"/>
          <w:szCs w:val="19"/>
        </w:rPr>
      </w:pP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O Conselho de Administração e a Diretoria Executiva são os colegiados responsáveis pela aprovação das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p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olíticas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c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orporativas de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g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estão de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r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>iscos, que formalizam as diretrizes e o processo de gestão dos riscos na Finep.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 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As duas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p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olíticas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c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orporativas relacionadas ao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p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rocesso de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g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erenciamento de </w:t>
      </w:r>
      <w:r>
        <w:rPr>
          <w:rFonts w:ascii="Tahoma" w:hAnsi="Tahoma" w:cs="Tahoma"/>
          <w:color w:val="595959" w:themeColor="text1" w:themeTint="A6"/>
          <w:sz w:val="19"/>
          <w:szCs w:val="19"/>
        </w:rPr>
        <w:t>r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iscos na Finep são a </w:t>
      </w:r>
      <w:hyperlink r:id="rId42" w:history="1">
        <w:r w:rsidRPr="00D3109A">
          <w:rPr>
            <w:rStyle w:val="Hyperlink"/>
            <w:rFonts w:ascii="Tahoma" w:hAnsi="Tahoma" w:cs="Tahoma"/>
            <w:sz w:val="19"/>
            <w:szCs w:val="19"/>
          </w:rPr>
          <w:t>Política de Gestão Integrada de Riscos</w:t>
        </w:r>
      </w:hyperlink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 e a </w:t>
      </w:r>
      <w:hyperlink r:id="rId43" w:history="1">
        <w:r w:rsidRPr="00D3109A">
          <w:rPr>
            <w:rStyle w:val="Hyperlink"/>
            <w:rFonts w:ascii="Tahoma" w:hAnsi="Tahoma" w:cs="Tahoma"/>
            <w:sz w:val="19"/>
            <w:szCs w:val="19"/>
          </w:rPr>
          <w:t>Política de Apetite por Riscos</w:t>
        </w:r>
      </w:hyperlink>
      <w:r>
        <w:rPr>
          <w:rFonts w:ascii="Tahoma" w:hAnsi="Tahoma" w:cs="Tahoma"/>
          <w:color w:val="595959" w:themeColor="text1" w:themeTint="A6"/>
          <w:sz w:val="19"/>
          <w:szCs w:val="19"/>
        </w:rPr>
        <w:t>. O</w:t>
      </w:r>
      <w:r w:rsidRPr="00D3109A">
        <w:rPr>
          <w:rFonts w:ascii="Tahoma" w:hAnsi="Tahoma" w:cs="Tahoma"/>
          <w:color w:val="595959" w:themeColor="text1" w:themeTint="A6"/>
          <w:sz w:val="19"/>
          <w:szCs w:val="19"/>
        </w:rPr>
        <w:t xml:space="preserve"> objetivo dessas políticas é estabelecer princípios, diretrizes e responsabilidades para a gestão de riscos na Finep.</w:t>
      </w:r>
      <w:r w:rsidR="00324F92">
        <w:rPr>
          <w:rFonts w:ascii="Tahoma" w:hAnsi="Tahoma" w:cs="Tahoma"/>
          <w:color w:val="595959" w:themeColor="text1" w:themeTint="A6"/>
          <w:sz w:val="19"/>
          <w:szCs w:val="19"/>
        </w:rPr>
        <w:t xml:space="preserve"> Esses colegiados também são responsáveis pela aprovação trimestral das demonstrações contábeis da Finep, que contam também com avaliação anual pela Assembleia Geral da empresa.</w:t>
      </w:r>
    </w:p>
    <w:p w14:paraId="1770AC23" w14:textId="518CF766" w:rsidR="00454EF3" w:rsidRDefault="00454EF3" w:rsidP="00ED4061">
      <w:pPr>
        <w:spacing w:before="120" w:after="120" w:line="360" w:lineRule="auto"/>
        <w:jc w:val="both"/>
        <w:rPr>
          <w:rFonts w:ascii="Tahoma" w:eastAsia="SimSun" w:hAnsi="Tahoma" w:cs="Tahoma"/>
          <w:kern w:val="3"/>
          <w:sz w:val="19"/>
          <w:szCs w:val="19"/>
          <w:lang w:bidi="hi-IN"/>
        </w:rPr>
      </w:pPr>
      <w:r>
        <w:rPr>
          <w:rFonts w:ascii="Tahoma" w:hAnsi="Tahoma" w:cs="Tahoma"/>
          <w:color w:val="595959" w:themeColor="text1" w:themeTint="A6"/>
          <w:sz w:val="19"/>
          <w:szCs w:val="19"/>
        </w:rPr>
        <w:t xml:space="preserve">Em relação ao último exercício não houve alteração significativa na política de gerenciamento de riscos adotada. Quanto </w:t>
      </w:r>
      <w:r w:rsidR="00324F92">
        <w:rPr>
          <w:rFonts w:ascii="Tahoma" w:eastAsia="SimSun" w:hAnsi="Tahoma" w:cs="Tahoma"/>
          <w:kern w:val="3"/>
          <w:sz w:val="19"/>
          <w:szCs w:val="19"/>
          <w:lang w:bidi="hi-IN"/>
        </w:rPr>
        <w:t>à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 confiabilidade da</w:t>
      </w:r>
      <w:r w:rsidR="00324F92">
        <w:rPr>
          <w:rFonts w:ascii="Tahoma" w:eastAsia="SimSun" w:hAnsi="Tahoma" w:cs="Tahoma"/>
          <w:kern w:val="3"/>
          <w:sz w:val="19"/>
          <w:szCs w:val="19"/>
          <w:lang w:bidi="hi-IN"/>
        </w:rPr>
        <w:t>s demonstrações contábeis da empresa, os controles adotados são apresentados nas notas explicativas</w:t>
      </w:r>
      <w:r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, publicadas trimestralmente em conjunto com as próprias demonstrações em </w:t>
      </w:r>
      <w:hyperlink r:id="rId44" w:history="1">
        <w:r w:rsidRPr="007D2AC7">
          <w:rPr>
            <w:rStyle w:val="Hyperlink"/>
            <w:rFonts w:ascii="Tahoma" w:eastAsia="SimSun" w:hAnsi="Tahoma" w:cs="Tahoma"/>
            <w:kern w:val="3"/>
            <w:sz w:val="19"/>
            <w:szCs w:val="19"/>
            <w:lang w:bidi="hi-IN"/>
          </w:rPr>
          <w:t>http://www.finep.gov.br/transparencia-finep/balanco-finep</w:t>
        </w:r>
      </w:hyperlink>
      <w:r>
        <w:rPr>
          <w:rFonts w:ascii="Tahoma" w:eastAsia="SimSun" w:hAnsi="Tahoma" w:cs="Tahoma"/>
          <w:kern w:val="3"/>
          <w:sz w:val="19"/>
          <w:szCs w:val="19"/>
          <w:lang w:bidi="hi-IN"/>
        </w:rPr>
        <w:t>.</w:t>
      </w:r>
    </w:p>
    <w:p w14:paraId="56FE3A75" w14:textId="77777777" w:rsidR="00247669" w:rsidRPr="00352C83" w:rsidRDefault="00247669" w:rsidP="00106A1D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26C464F0" w14:textId="2FEB428E" w:rsidR="00352C83" w:rsidRPr="007752C3" w:rsidRDefault="00352C83" w:rsidP="00106340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27" w:name="_Toc49448288"/>
      <w:bookmarkStart w:id="28" w:name="_Toc71730110"/>
      <w:bookmarkStart w:id="29" w:name="_Toc166575253"/>
      <w:r w:rsidRPr="007752C3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Fatores de risco</w:t>
      </w:r>
      <w:bookmarkEnd w:id="27"/>
      <w:bookmarkEnd w:id="28"/>
      <w:bookmarkEnd w:id="29"/>
    </w:p>
    <w:p w14:paraId="57611896" w14:textId="77777777" w:rsidR="00706DC4" w:rsidRDefault="00706DC4" w:rsidP="00706DC4">
      <w:pPr>
        <w:spacing w:line="276" w:lineRule="auto"/>
        <w:jc w:val="both"/>
        <w:rPr>
          <w:rFonts w:ascii="Tahoma" w:hAnsi="Tahoma" w:cs="Tahoma"/>
          <w:sz w:val="19"/>
          <w:szCs w:val="19"/>
        </w:rPr>
      </w:pPr>
      <w:r w:rsidRPr="00706DC4">
        <w:rPr>
          <w:rFonts w:ascii="Tahoma" w:hAnsi="Tahoma" w:cs="Tahoma"/>
          <w:sz w:val="19"/>
          <w:szCs w:val="19"/>
        </w:rPr>
        <w:t xml:space="preserve">No processo de gestão integrada de riscos, </w:t>
      </w:r>
      <w:r w:rsidR="001B0475">
        <w:rPr>
          <w:rFonts w:ascii="Tahoma" w:hAnsi="Tahoma" w:cs="Tahoma"/>
          <w:sz w:val="19"/>
          <w:szCs w:val="19"/>
        </w:rPr>
        <w:t>os riscos</w:t>
      </w:r>
      <w:r w:rsidRPr="00706DC4">
        <w:rPr>
          <w:rFonts w:ascii="Tahoma" w:hAnsi="Tahoma" w:cs="Tahoma"/>
          <w:sz w:val="19"/>
          <w:szCs w:val="19"/>
        </w:rPr>
        <w:t xml:space="preserve"> são agrupados </w:t>
      </w:r>
      <w:r w:rsidR="005566E5">
        <w:rPr>
          <w:rFonts w:ascii="Tahoma" w:hAnsi="Tahoma" w:cs="Tahoma"/>
          <w:sz w:val="19"/>
          <w:szCs w:val="19"/>
        </w:rPr>
        <w:t>pela</w:t>
      </w:r>
      <w:r w:rsidRPr="00706DC4">
        <w:rPr>
          <w:rFonts w:ascii="Tahoma" w:hAnsi="Tahoma" w:cs="Tahoma"/>
          <w:sz w:val="19"/>
          <w:szCs w:val="19"/>
        </w:rPr>
        <w:t xml:space="preserve"> sua natureza</w:t>
      </w:r>
      <w:r w:rsidR="001B0475">
        <w:rPr>
          <w:rFonts w:ascii="Tahoma" w:hAnsi="Tahoma" w:cs="Tahoma"/>
          <w:sz w:val="19"/>
          <w:szCs w:val="19"/>
        </w:rPr>
        <w:t xml:space="preserve">, conforme apresentado no Quadro </w:t>
      </w:r>
      <w:r w:rsidR="005566E5">
        <w:rPr>
          <w:rFonts w:ascii="Tahoma" w:hAnsi="Tahoma" w:cs="Tahoma"/>
          <w:sz w:val="19"/>
          <w:szCs w:val="19"/>
        </w:rPr>
        <w:t>5</w:t>
      </w:r>
      <w:r w:rsidRPr="00706DC4">
        <w:rPr>
          <w:rFonts w:ascii="Tahoma" w:hAnsi="Tahoma" w:cs="Tahoma"/>
          <w:sz w:val="19"/>
          <w:szCs w:val="19"/>
        </w:rPr>
        <w:t>.</w:t>
      </w:r>
    </w:p>
    <w:p w14:paraId="42F924AF" w14:textId="222BA9E1" w:rsidR="00F23791" w:rsidRPr="002F41AB" w:rsidRDefault="002F41AB" w:rsidP="002F41AB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</w:pPr>
      <w:r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Q</w:t>
      </w:r>
      <w:r w:rsidR="002B10A4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uadro </w:t>
      </w:r>
      <w:r w:rsidR="005566E5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5 </w:t>
      </w:r>
      <w:r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 xml:space="preserve">– </w:t>
      </w:r>
      <w:r w:rsidR="0059190D" w:rsidRPr="00352C83">
        <w:rPr>
          <w:rFonts w:ascii="Tahoma" w:eastAsia="SimSun" w:hAnsi="Tahoma" w:cs="Tahoma"/>
          <w:i/>
          <w:iCs/>
          <w:kern w:val="3"/>
          <w:sz w:val="19"/>
          <w:szCs w:val="19"/>
          <w:lang w:bidi="hi-IN"/>
        </w:rPr>
        <w:t>Fatores de riscos e medidas de mitigação</w:t>
      </w:r>
    </w:p>
    <w:tbl>
      <w:tblPr>
        <w:tblStyle w:val="Tabelacomgrade2"/>
        <w:tblW w:w="9781" w:type="dxa"/>
        <w:tblInd w:w="-5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3"/>
        <w:gridCol w:w="3402"/>
        <w:gridCol w:w="4536"/>
      </w:tblGrid>
      <w:tr w:rsidR="00192CF0" w:rsidRPr="001B0475" w14:paraId="711899B4" w14:textId="77777777" w:rsidTr="005931AC">
        <w:trPr>
          <w:trHeight w:val="454"/>
          <w:tblHeader/>
        </w:trPr>
        <w:tc>
          <w:tcPr>
            <w:tcW w:w="1843" w:type="dxa"/>
            <w:shd w:val="clear" w:color="auto" w:fill="005051"/>
            <w:vAlign w:val="center"/>
          </w:tcPr>
          <w:p w14:paraId="47710AE8" w14:textId="77777777" w:rsidR="00192CF0" w:rsidRPr="001B0475" w:rsidRDefault="00192CF0" w:rsidP="005931AC">
            <w:pPr>
              <w:contextualSpacing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Natureza</w:t>
            </w:r>
          </w:p>
        </w:tc>
        <w:tc>
          <w:tcPr>
            <w:tcW w:w="3402" w:type="dxa"/>
            <w:shd w:val="clear" w:color="auto" w:fill="005051"/>
            <w:vAlign w:val="center"/>
          </w:tcPr>
          <w:p w14:paraId="56BC3421" w14:textId="77777777" w:rsidR="00192CF0" w:rsidRPr="001B0475" w:rsidRDefault="00192CF0" w:rsidP="005931AC">
            <w:pPr>
              <w:contextualSpacing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Descrição do Risco</w:t>
            </w:r>
          </w:p>
        </w:tc>
        <w:tc>
          <w:tcPr>
            <w:tcW w:w="4536" w:type="dxa"/>
            <w:shd w:val="clear" w:color="auto" w:fill="005051"/>
            <w:vAlign w:val="center"/>
          </w:tcPr>
          <w:p w14:paraId="0D28CBA1" w14:textId="77777777" w:rsidR="00192CF0" w:rsidRPr="001B0475" w:rsidRDefault="00192CF0" w:rsidP="005931AC">
            <w:pPr>
              <w:contextualSpacing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Ações de Controle</w:t>
            </w:r>
          </w:p>
        </w:tc>
      </w:tr>
      <w:tr w:rsidR="00192CF0" w:rsidRPr="001B0475" w14:paraId="2F716290" w14:textId="77777777" w:rsidTr="005931AC">
        <w:tc>
          <w:tcPr>
            <w:tcW w:w="1843" w:type="dxa"/>
            <w:vAlign w:val="center"/>
          </w:tcPr>
          <w:p w14:paraId="57CD93C3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Estratégico</w:t>
            </w:r>
          </w:p>
        </w:tc>
        <w:tc>
          <w:tcPr>
            <w:tcW w:w="3402" w:type="dxa"/>
            <w:vAlign w:val="center"/>
          </w:tcPr>
          <w:p w14:paraId="04AA85F9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impactos que prejudiquem a consecução da missão, das metas ou dos objetivos estratégicos da Finep.</w:t>
            </w:r>
          </w:p>
        </w:tc>
        <w:tc>
          <w:tcPr>
            <w:tcW w:w="4536" w:type="dxa"/>
            <w:vAlign w:val="center"/>
          </w:tcPr>
          <w:p w14:paraId="1CE244AD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 Finep atua no mapeamento dos riscos estratégicos visando reduzir a probabilidade de que se materializem e afetem os objetivos estratégicos definidos em sua Estratégia de Longo Prazo e Plano de Negócio que são anualmente revisitados.</w:t>
            </w:r>
          </w:p>
        </w:tc>
      </w:tr>
      <w:tr w:rsidR="00192CF0" w:rsidRPr="001B0475" w14:paraId="5C076391" w14:textId="77777777" w:rsidTr="005931AC">
        <w:tc>
          <w:tcPr>
            <w:tcW w:w="1843" w:type="dxa"/>
            <w:vAlign w:val="center"/>
          </w:tcPr>
          <w:p w14:paraId="2BDEED41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Financeiro</w:t>
            </w:r>
          </w:p>
        </w:tc>
        <w:tc>
          <w:tcPr>
            <w:tcW w:w="3402" w:type="dxa"/>
            <w:vAlign w:val="center"/>
          </w:tcPr>
          <w:p w14:paraId="2240A045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perda de recursos financeiros, sendo subdivido em três tipos: Risco de Crédito, Risco de Liquidez e Risco de Mercado</w:t>
            </w:r>
          </w:p>
        </w:tc>
        <w:tc>
          <w:tcPr>
            <w:tcW w:w="4536" w:type="dxa"/>
            <w:vAlign w:val="center"/>
          </w:tcPr>
          <w:p w14:paraId="24513FC0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Destaca-se adoção das seguintes medidas de mitigação: (a) definição de limites de exposição </w:t>
            </w:r>
            <w:proofErr w:type="spellStart"/>
            <w:r w:rsidRPr="001B0475">
              <w:rPr>
                <w:rFonts w:ascii="Tahoma" w:eastAsia="Calibri" w:hAnsi="Tahoma" w:cs="Tahoma"/>
                <w:sz w:val="18"/>
                <w:szCs w:val="18"/>
              </w:rPr>
              <w:t>a</w:t>
            </w:r>
            <w:proofErr w:type="spellEnd"/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 risco de crédito dos clientes para a concessão de novos financiamentos e das garantias para a cobertura das operações, e observância de rotinas de acompanhamento financeiro; (b) análises do fluxo de caixa da Finep para diferentes horizontes de tempo, contemplando a manutenção de estoque adequado de ativos líquidos, prontamente convertidos em caixa em situações de estresse, e a manutenção de perfil de captação de recursos adequado ao risco de liquidez dos ativos; e (c) monitoramento de indicadores de Gestão de Ativos e Passivos (</w:t>
            </w:r>
            <w:proofErr w:type="spellStart"/>
            <w:r w:rsidRPr="001B0475">
              <w:rPr>
                <w:rFonts w:ascii="Tahoma" w:eastAsia="Calibri" w:hAnsi="Tahoma" w:cs="Tahoma"/>
                <w:sz w:val="18"/>
                <w:szCs w:val="18"/>
              </w:rPr>
              <w:t>Asset</w:t>
            </w:r>
            <w:proofErr w:type="spellEnd"/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 </w:t>
            </w:r>
            <w:proofErr w:type="spellStart"/>
            <w:r w:rsidRPr="001B0475">
              <w:rPr>
                <w:rFonts w:ascii="Tahoma" w:eastAsia="Calibri" w:hAnsi="Tahoma" w:cs="Tahoma"/>
                <w:sz w:val="18"/>
                <w:szCs w:val="18"/>
              </w:rPr>
              <w:t>and</w:t>
            </w:r>
            <w:proofErr w:type="spellEnd"/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 </w:t>
            </w:r>
            <w:proofErr w:type="spellStart"/>
            <w:r w:rsidRPr="001B0475">
              <w:rPr>
                <w:rFonts w:ascii="Tahoma" w:eastAsia="Calibri" w:hAnsi="Tahoma" w:cs="Tahoma"/>
                <w:sz w:val="18"/>
                <w:szCs w:val="18"/>
              </w:rPr>
              <w:t>Liability</w:t>
            </w:r>
            <w:proofErr w:type="spellEnd"/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 Management – ALM).</w:t>
            </w:r>
          </w:p>
        </w:tc>
      </w:tr>
      <w:tr w:rsidR="00192CF0" w:rsidRPr="001B0475" w14:paraId="56446236" w14:textId="77777777" w:rsidTr="005931AC">
        <w:tc>
          <w:tcPr>
            <w:tcW w:w="1843" w:type="dxa"/>
            <w:vAlign w:val="center"/>
          </w:tcPr>
          <w:p w14:paraId="2283A212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lastRenderedPageBreak/>
              <w:t>Risco Operacional</w:t>
            </w:r>
          </w:p>
        </w:tc>
        <w:tc>
          <w:tcPr>
            <w:tcW w:w="3402" w:type="dxa"/>
            <w:vAlign w:val="center"/>
          </w:tcPr>
          <w:p w14:paraId="2EED51B3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ocorrência de eventos que podem comprometer as atividades institucionais, normalmente associados a falhas, deficiência ou inadequação de processos internos, na conduta das pessoas, em infraestrutura e sistemas, podendo afetar o esforço da gestão quanto à eficácia e a eficiência dos processos organizacionais.</w:t>
            </w:r>
          </w:p>
        </w:tc>
        <w:tc>
          <w:tcPr>
            <w:tcW w:w="4536" w:type="dxa"/>
            <w:vAlign w:val="center"/>
          </w:tcPr>
          <w:p w14:paraId="61640C9A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 Finep atua continuamente no mapeamento e monitoramento dos riscos operacionais, como forma de reduzir a probabilidade de que os riscos se materializem, ou de amenizar seu impacto e proporcionar adequada condução dos negócios e respectivos processos decisórios.</w:t>
            </w:r>
          </w:p>
        </w:tc>
      </w:tr>
      <w:tr w:rsidR="00192CF0" w:rsidRPr="001B0475" w14:paraId="6E36AD16" w14:textId="77777777" w:rsidTr="005931AC">
        <w:tc>
          <w:tcPr>
            <w:tcW w:w="1843" w:type="dxa"/>
            <w:vAlign w:val="center"/>
          </w:tcPr>
          <w:p w14:paraId="18788B89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de Compliance</w:t>
            </w:r>
          </w:p>
        </w:tc>
        <w:tc>
          <w:tcPr>
            <w:tcW w:w="3402" w:type="dxa"/>
            <w:vAlign w:val="center"/>
          </w:tcPr>
          <w:p w14:paraId="638DB90B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não cumprimento de legislação e/ou regulamentação externa aplicáveis ao negócio e de normas e procedimentos internos, incluindo, ação ou omissão que possa favorecer a ocorrência de fraudes, atos de corrupção, nepotismo e conflito de interesses.</w:t>
            </w:r>
          </w:p>
        </w:tc>
        <w:tc>
          <w:tcPr>
            <w:tcW w:w="4536" w:type="dxa"/>
            <w:vAlign w:val="center"/>
          </w:tcPr>
          <w:p w14:paraId="4F00D6A1" w14:textId="39E29390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 Finep dispõe de Política</w:t>
            </w:r>
            <w:r>
              <w:rPr>
                <w:rFonts w:ascii="Tahoma" w:eastAsia="Calibri" w:hAnsi="Tahoma" w:cs="Tahoma"/>
                <w:sz w:val="18"/>
                <w:szCs w:val="18"/>
              </w:rPr>
              <w:t>s</w:t>
            </w:r>
            <w:r w:rsidRPr="001B0475">
              <w:rPr>
                <w:rFonts w:ascii="Tahoma" w:eastAsia="Calibri" w:hAnsi="Tahoma" w:cs="Tahoma"/>
                <w:sz w:val="18"/>
                <w:szCs w:val="18"/>
              </w:rPr>
              <w:t xml:space="preserve"> de Conformidade e </w:t>
            </w:r>
            <w:r>
              <w:rPr>
                <w:rFonts w:ascii="Tahoma" w:eastAsia="Calibri" w:hAnsi="Tahoma" w:cs="Tahoma"/>
                <w:sz w:val="18"/>
                <w:szCs w:val="18"/>
              </w:rPr>
              <w:t xml:space="preserve">de </w:t>
            </w:r>
            <w:r w:rsidRPr="001B0475">
              <w:rPr>
                <w:rFonts w:ascii="Tahoma" w:eastAsia="Calibri" w:hAnsi="Tahoma" w:cs="Tahoma"/>
                <w:sz w:val="18"/>
                <w:szCs w:val="18"/>
              </w:rPr>
              <w:t>Integridade e Programa de Integridade, que estabelece mecanismos e procedimentos que visam evitar a ocorrência de não conformidade e irregularidades como atos de fraude, corrupção, nepotismo e conflito de interesses.</w:t>
            </w:r>
          </w:p>
        </w:tc>
      </w:tr>
      <w:tr w:rsidR="00192CF0" w:rsidRPr="001B0475" w14:paraId="516C65ED" w14:textId="77777777" w:rsidTr="005931AC">
        <w:tc>
          <w:tcPr>
            <w:tcW w:w="1843" w:type="dxa"/>
            <w:vAlign w:val="center"/>
          </w:tcPr>
          <w:p w14:paraId="429B1396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de Imagem</w:t>
            </w:r>
          </w:p>
        </w:tc>
        <w:tc>
          <w:tcPr>
            <w:tcW w:w="3402" w:type="dxa"/>
            <w:vAlign w:val="center"/>
          </w:tcPr>
          <w:p w14:paraId="524B3F3A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desgaste do nome da Finep junto ao mercado ou às autoridades, em razão de publicidade negativa, verdadeira ou não.</w:t>
            </w:r>
          </w:p>
        </w:tc>
        <w:tc>
          <w:tcPr>
            <w:tcW w:w="4536" w:type="dxa"/>
            <w:vAlign w:val="center"/>
          </w:tcPr>
          <w:p w14:paraId="2BC576D4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 Finep realiza o acompanhamento e gestão de imagem através da avaliação de sua exposição na mídia e por meio da análise de casos específicos, conforme disposto em normas internas.</w:t>
            </w:r>
          </w:p>
        </w:tc>
      </w:tr>
      <w:tr w:rsidR="00192CF0" w:rsidRPr="001B0475" w14:paraId="64C0EBBA" w14:textId="77777777" w:rsidTr="005931AC">
        <w:tc>
          <w:tcPr>
            <w:tcW w:w="1843" w:type="dxa"/>
            <w:vAlign w:val="center"/>
          </w:tcPr>
          <w:p w14:paraId="468F16CE" w14:textId="77777777" w:rsidR="00192CF0" w:rsidRPr="001B0475" w:rsidRDefault="00192CF0" w:rsidP="005931AC">
            <w:pPr>
              <w:spacing w:line="276" w:lineRule="auto"/>
              <w:ind w:left="360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Socioambiental</w:t>
            </w:r>
          </w:p>
        </w:tc>
        <w:tc>
          <w:tcPr>
            <w:tcW w:w="3402" w:type="dxa"/>
            <w:vAlign w:val="center"/>
          </w:tcPr>
          <w:p w14:paraId="7A6AB147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ocorrência de perdas decorrentes de danos socioambientais.</w:t>
            </w:r>
          </w:p>
        </w:tc>
        <w:tc>
          <w:tcPr>
            <w:tcW w:w="4536" w:type="dxa"/>
            <w:vAlign w:val="center"/>
          </w:tcPr>
          <w:p w14:paraId="6A1FE5D4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Como forma de mitigação, a Finep estabeleceu Política de Responsabilidade Socioambiental que dispõe sobre princípios e diretrizes internas que visam nortear as ações de natureza socioambiental, tanto no aspecto institucional como gerenciamento de risco das operações de financiamento da empresa.</w:t>
            </w:r>
          </w:p>
        </w:tc>
      </w:tr>
      <w:tr w:rsidR="00192CF0" w:rsidRPr="001B0475" w14:paraId="07F812C3" w14:textId="77777777" w:rsidTr="005931AC">
        <w:tc>
          <w:tcPr>
            <w:tcW w:w="1843" w:type="dxa"/>
            <w:vAlign w:val="center"/>
          </w:tcPr>
          <w:p w14:paraId="5820261F" w14:textId="77777777" w:rsidR="00192CF0" w:rsidRPr="001B0475" w:rsidRDefault="00192CF0" w:rsidP="005931AC">
            <w:pPr>
              <w:spacing w:line="276" w:lineRule="auto"/>
              <w:contextualSpacing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Risco de Segurança da Informação</w:t>
            </w:r>
          </w:p>
        </w:tc>
        <w:tc>
          <w:tcPr>
            <w:tcW w:w="3402" w:type="dxa"/>
            <w:vAlign w:val="center"/>
          </w:tcPr>
          <w:p w14:paraId="64634E26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Possibilidade de exploração de vulnerabilidades de ativos da informação por parte de ameaças com impacto negativo no negócio da Finep.</w:t>
            </w:r>
          </w:p>
        </w:tc>
        <w:tc>
          <w:tcPr>
            <w:tcW w:w="4536" w:type="dxa"/>
            <w:vAlign w:val="center"/>
          </w:tcPr>
          <w:p w14:paraId="50B9EE4E" w14:textId="77777777" w:rsidR="00192CF0" w:rsidRPr="001B0475" w:rsidRDefault="00192CF0" w:rsidP="005931AC">
            <w:pPr>
              <w:spacing w:line="276" w:lineRule="auto"/>
              <w:contextualSpacing/>
              <w:rPr>
                <w:rFonts w:ascii="Tahoma" w:eastAsia="Calibri" w:hAnsi="Tahoma" w:cs="Tahoma"/>
                <w:sz w:val="18"/>
                <w:szCs w:val="18"/>
              </w:rPr>
            </w:pPr>
            <w:r w:rsidRPr="001B0475">
              <w:rPr>
                <w:rFonts w:ascii="Tahoma" w:eastAsia="Calibri" w:hAnsi="Tahoma" w:cs="Tahoma"/>
                <w:sz w:val="18"/>
                <w:szCs w:val="18"/>
              </w:rPr>
              <w:t>A Política de Segurança da Informação da Finep estabelece os princípios e processos que norteiam a segurança da informação na empresa, notadamente a preservação da integridade, autenticidade e irretratabilidade das informações produzidas e recebidas, a garantia da transparência das informações públicas e a disponibilidade das informações custodiadas e confidencialidade das informações que necessitam de restrição de acesso.</w:t>
            </w:r>
          </w:p>
        </w:tc>
      </w:tr>
    </w:tbl>
    <w:p w14:paraId="78618D0F" w14:textId="7DA8724F" w:rsidR="00192CF0" w:rsidRDefault="00192CF0" w:rsidP="00192CF0">
      <w:pPr>
        <w:spacing w:before="120" w:after="120" w:line="360" w:lineRule="auto"/>
        <w:jc w:val="both"/>
        <w:rPr>
          <w:rFonts w:ascii="Tahoma" w:eastAsia="Times New Roman" w:hAnsi="Tahoma" w:cs="Tahoma"/>
          <w:color w:val="000000"/>
          <w:sz w:val="19"/>
          <w:szCs w:val="19"/>
          <w:lang w:eastAsia="pt-BR"/>
        </w:rPr>
      </w:pPr>
    </w:p>
    <w:p w14:paraId="42362E78" w14:textId="77777777" w:rsidR="00192CF0" w:rsidRDefault="00192CF0">
      <w:pPr>
        <w:rPr>
          <w:rFonts w:ascii="Tahoma" w:eastAsia="Times New Roman" w:hAnsi="Tahoma" w:cs="Tahoma"/>
          <w:color w:val="000000"/>
          <w:sz w:val="19"/>
          <w:szCs w:val="19"/>
          <w:lang w:eastAsia="pt-BR"/>
        </w:rPr>
      </w:pPr>
      <w:r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br w:type="page"/>
      </w:r>
    </w:p>
    <w:p w14:paraId="59E48C67" w14:textId="2EB53290" w:rsidR="00247669" w:rsidRPr="003F0E15" w:rsidRDefault="00247669" w:rsidP="00247669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30" w:name="_Toc166575254"/>
      <w:r w:rsidRPr="003F0E15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lastRenderedPageBreak/>
        <w:t>Dados econômico-financeiros e comentários sobre o desempenho</w:t>
      </w:r>
      <w:r w:rsidR="00105DEB" w:rsidRPr="003F0E15">
        <w:rPr>
          <w:rStyle w:val="Refdenotaderodap"/>
          <w:rFonts w:ascii="Tahoma" w:eastAsia="Times New Roman" w:hAnsi="Tahoma" w:cs="Tahoma"/>
          <w:color w:val="DD4F0B"/>
          <w:sz w:val="24"/>
          <w:szCs w:val="24"/>
          <w:lang w:eastAsia="pt-BR"/>
        </w:rPr>
        <w:footnoteReference w:id="15"/>
      </w:r>
      <w:bookmarkEnd w:id="30"/>
    </w:p>
    <w:p w14:paraId="4EB814A9" w14:textId="137D8E07" w:rsidR="00266345" w:rsidRPr="00266345" w:rsidRDefault="00967503" w:rsidP="00663741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96750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A apuração dos resultados dos indicadores das metas do Programa de </w:t>
      </w:r>
      <w:r w:rsidR="00663741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Remuneração Variável (</w:t>
      </w:r>
      <w:r w:rsidRPr="0096750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RVA</w:t>
      </w:r>
      <w:r w:rsidR="00663741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)</w:t>
      </w:r>
      <w:r w:rsidRPr="0096750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de 2023 foi efetuada pelas unidades competentes nas áreas de planejamento e de gestão de pessoas da Finep e</w:t>
      </w:r>
      <w:r w:rsidR="003F0E15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,</w:t>
      </w:r>
      <w:r w:rsidRPr="0096750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no momento da aprovação deste documento</w:t>
      </w:r>
      <w:r w:rsidR="003F0E15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,</w:t>
      </w:r>
      <w:r w:rsidRPr="0096750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encontra-se em revisão pela Auditoria Interna da empresa.</w:t>
      </w:r>
    </w:p>
    <w:p w14:paraId="0AF83F57" w14:textId="77777777" w:rsidR="008E03C1" w:rsidRPr="007C18AB" w:rsidRDefault="008E03C1" w:rsidP="00663741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Com base nos resultados aferidos, foi calculado o montante total referente à RVA do exercício de 202</w:t>
      </w:r>
      <w:r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3</w:t>
      </w: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e aquele devido a cada um dos diretores que tiveram exercício do cargo no período. O total apurado foi de R$ </w:t>
      </w:r>
      <w:r w:rsidRPr="00DC1893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503.571,10</w:t>
      </w: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, sendo que o valor a ser pago em 202</w:t>
      </w:r>
      <w:r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4</w:t>
      </w: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será aquele referente à parcela à vista (60% do total).</w:t>
      </w:r>
    </w:p>
    <w:p w14:paraId="70A2A94B" w14:textId="44F0831A" w:rsidR="008E03C1" w:rsidRPr="007C18AB" w:rsidRDefault="008E03C1" w:rsidP="00663741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O detalhamento por diretoria e o valor das demais parcelas está apresentado na </w:t>
      </w:r>
      <w:r w:rsidR="008357C4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T</w:t>
      </w: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>abela</w:t>
      </w:r>
      <w:r w:rsidR="008357C4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2</w:t>
      </w:r>
      <w:r w:rsidRPr="007C18AB">
        <w:rPr>
          <w:rFonts w:ascii="Tahoma" w:eastAsia="Times New Roman" w:hAnsi="Tahoma" w:cs="Tahoma"/>
          <w:color w:val="000000"/>
          <w:sz w:val="19"/>
          <w:szCs w:val="19"/>
          <w:lang w:eastAsia="pt-BR"/>
        </w:rPr>
        <w:t xml:space="preserve"> a seguir:</w:t>
      </w:r>
    </w:p>
    <w:p w14:paraId="2BDFA71B" w14:textId="1DB4B371" w:rsidR="00266345" w:rsidRPr="00266345" w:rsidRDefault="00370D8F" w:rsidP="008E03C1">
      <w:pPr>
        <w:spacing w:before="120" w:after="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>
        <w:rPr>
          <w:rFonts w:ascii="Tahoma" w:eastAsia="Times New Roman" w:hAnsi="Tahoma" w:cs="Tahoma"/>
          <w:i/>
          <w:iCs/>
          <w:color w:val="000000"/>
          <w:sz w:val="19"/>
          <w:szCs w:val="19"/>
          <w:lang w:eastAsia="pt-BR"/>
        </w:rPr>
        <w:t>Tabela</w:t>
      </w:r>
      <w:r w:rsidR="00267BC7" w:rsidRPr="003518FD">
        <w:rPr>
          <w:rFonts w:ascii="Tahoma" w:eastAsia="Times New Roman" w:hAnsi="Tahoma" w:cs="Tahoma"/>
          <w:i/>
          <w:iCs/>
          <w:color w:val="000000"/>
          <w:sz w:val="19"/>
          <w:szCs w:val="19"/>
          <w:lang w:eastAsia="pt-BR"/>
        </w:rPr>
        <w:t xml:space="preserve"> </w:t>
      </w:r>
      <w:r w:rsidR="002E634B">
        <w:rPr>
          <w:rFonts w:ascii="Tahoma" w:eastAsia="Times New Roman" w:hAnsi="Tahoma" w:cs="Tahoma"/>
          <w:i/>
          <w:iCs/>
          <w:color w:val="000000"/>
          <w:sz w:val="19"/>
          <w:szCs w:val="19"/>
          <w:lang w:eastAsia="pt-BR"/>
        </w:rPr>
        <w:t>2</w:t>
      </w:r>
      <w:r w:rsidR="00267BC7" w:rsidRPr="003518FD">
        <w:rPr>
          <w:rFonts w:ascii="Tahoma" w:eastAsia="Times New Roman" w:hAnsi="Tahoma" w:cs="Tahoma"/>
          <w:i/>
          <w:iCs/>
          <w:color w:val="000000"/>
          <w:sz w:val="19"/>
          <w:szCs w:val="19"/>
          <w:lang w:eastAsia="pt-BR"/>
        </w:rPr>
        <w:t xml:space="preserve"> - </w:t>
      </w:r>
      <w:r w:rsidR="00266345" w:rsidRPr="00266345">
        <w:rPr>
          <w:rFonts w:ascii="Tahoma" w:eastAsia="Times New Roman" w:hAnsi="Tahoma" w:cs="Tahoma"/>
          <w:i/>
          <w:iCs/>
          <w:color w:val="000000"/>
          <w:sz w:val="19"/>
          <w:szCs w:val="19"/>
          <w:lang w:eastAsia="pt-BR"/>
        </w:rPr>
        <w:t>RVA 2023 – Parcela à vista diferidas</w:t>
      </w:r>
    </w:p>
    <w:tbl>
      <w:tblPr>
        <w:tblW w:w="5196" w:type="pct"/>
        <w:tblBorders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6"/>
        <w:gridCol w:w="1634"/>
        <w:gridCol w:w="1419"/>
        <w:gridCol w:w="1511"/>
        <w:gridCol w:w="1517"/>
        <w:gridCol w:w="1408"/>
        <w:gridCol w:w="1406"/>
      </w:tblGrid>
      <w:tr w:rsidR="008E03C1" w:rsidRPr="002E634B" w14:paraId="73398943" w14:textId="77777777" w:rsidTr="002E634B">
        <w:trPr>
          <w:trHeight w:val="340"/>
          <w:tblHeader/>
        </w:trPr>
        <w:tc>
          <w:tcPr>
            <w:tcW w:w="648" w:type="pct"/>
            <w:shd w:val="clear" w:color="auto" w:fill="005051"/>
            <w:vAlign w:val="center"/>
            <w:hideMark/>
          </w:tcPr>
          <w:p w14:paraId="235F614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Diretoria</w:t>
            </w:r>
          </w:p>
        </w:tc>
        <w:tc>
          <w:tcPr>
            <w:tcW w:w="799" w:type="pct"/>
            <w:shd w:val="clear" w:color="auto" w:fill="005051"/>
            <w:vAlign w:val="center"/>
          </w:tcPr>
          <w:p w14:paraId="1D23036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CPF do ocupante</w:t>
            </w:r>
          </w:p>
        </w:tc>
        <w:tc>
          <w:tcPr>
            <w:tcW w:w="694" w:type="pct"/>
            <w:shd w:val="clear" w:color="auto" w:fill="005051"/>
            <w:vAlign w:val="center"/>
          </w:tcPr>
          <w:p w14:paraId="634786B9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Valor Total da RVA 2023</w:t>
            </w:r>
          </w:p>
        </w:tc>
        <w:tc>
          <w:tcPr>
            <w:tcW w:w="739" w:type="pct"/>
            <w:shd w:val="clear" w:color="auto" w:fill="005051"/>
            <w:vAlign w:val="center"/>
          </w:tcPr>
          <w:p w14:paraId="4A085966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Parcela à vista</w:t>
            </w:r>
          </w:p>
          <w:p w14:paraId="3D5A710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(60%)</w:t>
            </w:r>
          </w:p>
        </w:tc>
        <w:tc>
          <w:tcPr>
            <w:tcW w:w="742" w:type="pct"/>
            <w:shd w:val="clear" w:color="auto" w:fill="005051"/>
            <w:vAlign w:val="center"/>
          </w:tcPr>
          <w:p w14:paraId="51ADE9C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1ª diferida</w:t>
            </w:r>
          </w:p>
          <w:p w14:paraId="17EDB2BD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(20%)</w:t>
            </w:r>
          </w:p>
        </w:tc>
        <w:tc>
          <w:tcPr>
            <w:tcW w:w="689" w:type="pct"/>
            <w:shd w:val="clear" w:color="auto" w:fill="005051"/>
            <w:vAlign w:val="center"/>
          </w:tcPr>
          <w:p w14:paraId="14EEA86C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2ª diferida</w:t>
            </w:r>
          </w:p>
          <w:p w14:paraId="22BFEDB6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(10%)</w:t>
            </w:r>
          </w:p>
        </w:tc>
        <w:tc>
          <w:tcPr>
            <w:tcW w:w="688" w:type="pct"/>
            <w:shd w:val="clear" w:color="auto" w:fill="005051"/>
            <w:vAlign w:val="center"/>
          </w:tcPr>
          <w:p w14:paraId="380F149E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3ª diferida</w:t>
            </w:r>
          </w:p>
          <w:p w14:paraId="3596BF66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2E634B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(10%)</w:t>
            </w:r>
          </w:p>
        </w:tc>
      </w:tr>
      <w:tr w:rsidR="008E03C1" w:rsidRPr="002E634B" w14:paraId="72A879AD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0153CE0C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Presidência</w:t>
            </w:r>
          </w:p>
        </w:tc>
        <w:tc>
          <w:tcPr>
            <w:tcW w:w="799" w:type="pct"/>
            <w:vAlign w:val="bottom"/>
          </w:tcPr>
          <w:p w14:paraId="07145BD5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***.067.557-**</w:t>
            </w:r>
          </w:p>
        </w:tc>
        <w:tc>
          <w:tcPr>
            <w:tcW w:w="694" w:type="pct"/>
            <w:vAlign w:val="center"/>
          </w:tcPr>
          <w:p w14:paraId="3313BA1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pt-BR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R$ 25.872,97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16D612A8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pt-BR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R$ 15.523,78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2D96652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R$ 5.174,59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DB3482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R$ 2.587,30</w:t>
            </w:r>
          </w:p>
        </w:tc>
        <w:tc>
          <w:tcPr>
            <w:tcW w:w="688" w:type="pct"/>
            <w:vAlign w:val="center"/>
          </w:tcPr>
          <w:p w14:paraId="61E393C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R$ 2.587,30</w:t>
            </w:r>
          </w:p>
        </w:tc>
      </w:tr>
      <w:tr w:rsidR="008E03C1" w:rsidRPr="002E634B" w14:paraId="139349E7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4450D9E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Presidência</w:t>
            </w:r>
          </w:p>
        </w:tc>
        <w:tc>
          <w:tcPr>
            <w:tcW w:w="799" w:type="pct"/>
            <w:vAlign w:val="bottom"/>
          </w:tcPr>
          <w:p w14:paraId="6CC38CA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***.122.449-**</w:t>
            </w:r>
          </w:p>
        </w:tc>
        <w:tc>
          <w:tcPr>
            <w:tcW w:w="694" w:type="pct"/>
            <w:vAlign w:val="center"/>
          </w:tcPr>
          <w:p w14:paraId="24F74BBE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R$ 85.217,49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3E217BA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R$ 51.130,49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2592C33D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R$ 17.043,50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A58CCC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R$ 8.521,75</w:t>
            </w:r>
          </w:p>
        </w:tc>
        <w:tc>
          <w:tcPr>
            <w:tcW w:w="688" w:type="pct"/>
            <w:vAlign w:val="center"/>
          </w:tcPr>
          <w:p w14:paraId="0BB400E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R$ 8.521,75</w:t>
            </w:r>
          </w:p>
        </w:tc>
      </w:tr>
      <w:tr w:rsidR="008E03C1" w:rsidRPr="002E634B" w14:paraId="0D31692A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1486EE4C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DADM</w:t>
            </w:r>
          </w:p>
        </w:tc>
        <w:tc>
          <w:tcPr>
            <w:tcW w:w="799" w:type="pct"/>
            <w:vAlign w:val="bottom"/>
          </w:tcPr>
          <w:p w14:paraId="1770A91C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***.636.236-**</w:t>
            </w:r>
          </w:p>
        </w:tc>
        <w:tc>
          <w:tcPr>
            <w:tcW w:w="694" w:type="pct"/>
            <w:vAlign w:val="center"/>
          </w:tcPr>
          <w:p w14:paraId="5814664C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R$ 24.439,36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21A5444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R$ 14.663,61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5C3858DD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R$ 4.887,87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8B5FBA9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R$ 2.443,94</w:t>
            </w:r>
          </w:p>
        </w:tc>
        <w:tc>
          <w:tcPr>
            <w:tcW w:w="688" w:type="pct"/>
            <w:vAlign w:val="center"/>
          </w:tcPr>
          <w:p w14:paraId="78847961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R$ 2.443,94</w:t>
            </w:r>
          </w:p>
        </w:tc>
      </w:tr>
      <w:tr w:rsidR="008E03C1" w:rsidRPr="002E634B" w14:paraId="6BC53732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3B9C2B8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DADM</w:t>
            </w:r>
          </w:p>
        </w:tc>
        <w:tc>
          <w:tcPr>
            <w:tcW w:w="799" w:type="pct"/>
            <w:vAlign w:val="bottom"/>
          </w:tcPr>
          <w:p w14:paraId="713EA78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***.775.987-**</w:t>
            </w:r>
          </w:p>
        </w:tc>
        <w:tc>
          <w:tcPr>
            <w:tcW w:w="694" w:type="pct"/>
            <w:vAlign w:val="center"/>
          </w:tcPr>
          <w:p w14:paraId="0BAD6C1E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R$ 80.495,61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1719637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R$ 48.297,37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44087D6E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R$ 16.099,12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4C0B23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R$ 8.049,56</w:t>
            </w:r>
          </w:p>
        </w:tc>
        <w:tc>
          <w:tcPr>
            <w:tcW w:w="688" w:type="pct"/>
            <w:vAlign w:val="center"/>
          </w:tcPr>
          <w:p w14:paraId="3F81A5D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R$ 8.049,56</w:t>
            </w:r>
          </w:p>
        </w:tc>
      </w:tr>
      <w:tr w:rsidR="008E03C1" w:rsidRPr="002E634B" w14:paraId="6FD3D1E3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07E37B8B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DRCT</w:t>
            </w:r>
          </w:p>
        </w:tc>
        <w:tc>
          <w:tcPr>
            <w:tcW w:w="799" w:type="pct"/>
            <w:vAlign w:val="bottom"/>
          </w:tcPr>
          <w:p w14:paraId="3D07391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***.615.277-**</w:t>
            </w:r>
          </w:p>
        </w:tc>
        <w:tc>
          <w:tcPr>
            <w:tcW w:w="694" w:type="pct"/>
            <w:vAlign w:val="center"/>
          </w:tcPr>
          <w:p w14:paraId="59253C8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R$ 23.368,57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048F205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R$ 14.021,14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01D79C25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R$ 4.673,71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78DED51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R$ 2.336,86</w:t>
            </w:r>
          </w:p>
        </w:tc>
        <w:tc>
          <w:tcPr>
            <w:tcW w:w="688" w:type="pct"/>
            <w:vAlign w:val="center"/>
          </w:tcPr>
          <w:p w14:paraId="2AD606E9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R$ 2.336,86</w:t>
            </w:r>
          </w:p>
        </w:tc>
      </w:tr>
      <w:tr w:rsidR="008E03C1" w:rsidRPr="002E634B" w14:paraId="7D452AA7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2C27E8FA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DRCT</w:t>
            </w:r>
          </w:p>
        </w:tc>
        <w:tc>
          <w:tcPr>
            <w:tcW w:w="799" w:type="pct"/>
            <w:vAlign w:val="bottom"/>
          </w:tcPr>
          <w:p w14:paraId="12218DD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***.000.447-**</w:t>
            </w:r>
          </w:p>
        </w:tc>
        <w:tc>
          <w:tcPr>
            <w:tcW w:w="694" w:type="pct"/>
            <w:vAlign w:val="center"/>
          </w:tcPr>
          <w:p w14:paraId="2C4C6FB1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R$ 76.968,76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0B659E5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R$ 46.181,25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547721B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R$ 15.393,75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954CA88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R$ 7.696,88</w:t>
            </w:r>
          </w:p>
        </w:tc>
        <w:tc>
          <w:tcPr>
            <w:tcW w:w="688" w:type="pct"/>
            <w:vAlign w:val="center"/>
          </w:tcPr>
          <w:p w14:paraId="44EAC2E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R$ 7.696,88</w:t>
            </w:r>
          </w:p>
        </w:tc>
      </w:tr>
      <w:tr w:rsidR="008E03C1" w:rsidRPr="002E634B" w14:paraId="77795FAF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61825515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DRFC</w:t>
            </w:r>
          </w:p>
        </w:tc>
        <w:tc>
          <w:tcPr>
            <w:tcW w:w="799" w:type="pct"/>
            <w:vAlign w:val="bottom"/>
          </w:tcPr>
          <w:p w14:paraId="6006EFC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***.034.918-**</w:t>
            </w:r>
          </w:p>
        </w:tc>
        <w:tc>
          <w:tcPr>
            <w:tcW w:w="694" w:type="pct"/>
            <w:vAlign w:val="center"/>
          </w:tcPr>
          <w:p w14:paraId="052892E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R$ 24.943,27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0097C4CB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R$ 14.965,96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5965474F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R$ 4.988,65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D6D77F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R$ 2.494,33</w:t>
            </w:r>
          </w:p>
        </w:tc>
        <w:tc>
          <w:tcPr>
            <w:tcW w:w="688" w:type="pct"/>
            <w:vAlign w:val="center"/>
          </w:tcPr>
          <w:p w14:paraId="0B9F407B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R$ 2.494,33</w:t>
            </w:r>
          </w:p>
        </w:tc>
      </w:tr>
      <w:tr w:rsidR="008E03C1" w:rsidRPr="002E634B" w14:paraId="6A9318E7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0658B4D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DRFC</w:t>
            </w:r>
          </w:p>
        </w:tc>
        <w:tc>
          <w:tcPr>
            <w:tcW w:w="799" w:type="pct"/>
            <w:vAlign w:val="bottom"/>
          </w:tcPr>
          <w:p w14:paraId="141E3DC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***.578.224-**</w:t>
            </w:r>
          </w:p>
        </w:tc>
        <w:tc>
          <w:tcPr>
            <w:tcW w:w="694" w:type="pct"/>
            <w:vAlign w:val="center"/>
          </w:tcPr>
          <w:p w14:paraId="6733B79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R$ 55.166,49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461697E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R$ 33.099,89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6BCDA140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R$ 11.033,30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AB00085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R$ 5.516,65</w:t>
            </w:r>
          </w:p>
        </w:tc>
        <w:tc>
          <w:tcPr>
            <w:tcW w:w="688" w:type="pct"/>
            <w:vAlign w:val="center"/>
          </w:tcPr>
          <w:p w14:paraId="5D10DA49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R$ 5.516,65</w:t>
            </w:r>
          </w:p>
        </w:tc>
      </w:tr>
      <w:tr w:rsidR="008E03C1" w:rsidRPr="002E634B" w14:paraId="09ED8527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282F55D3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DRIN</w:t>
            </w:r>
          </w:p>
        </w:tc>
        <w:tc>
          <w:tcPr>
            <w:tcW w:w="799" w:type="pct"/>
            <w:vAlign w:val="bottom"/>
          </w:tcPr>
          <w:p w14:paraId="3AFC357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***.168.904-**</w:t>
            </w:r>
          </w:p>
        </w:tc>
        <w:tc>
          <w:tcPr>
            <w:tcW w:w="694" w:type="pct"/>
            <w:vAlign w:val="center"/>
          </w:tcPr>
          <w:p w14:paraId="789B66A6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R$ 24.943,27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7CBDE164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R$ 14.965,96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1B7CB988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R$ 4.988,65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AE66828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R$ 2.494,33</w:t>
            </w:r>
          </w:p>
        </w:tc>
        <w:tc>
          <w:tcPr>
            <w:tcW w:w="688" w:type="pct"/>
            <w:vAlign w:val="center"/>
          </w:tcPr>
          <w:p w14:paraId="1436808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R$ 2.494,33</w:t>
            </w:r>
          </w:p>
        </w:tc>
      </w:tr>
      <w:tr w:rsidR="008E03C1" w:rsidRPr="002E634B" w14:paraId="0ED7D7EC" w14:textId="77777777" w:rsidTr="002E634B">
        <w:trPr>
          <w:trHeight w:val="340"/>
        </w:trPr>
        <w:tc>
          <w:tcPr>
            <w:tcW w:w="648" w:type="pct"/>
            <w:shd w:val="clear" w:color="auto" w:fill="auto"/>
            <w:vAlign w:val="center"/>
          </w:tcPr>
          <w:p w14:paraId="7819CEEE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DRIN</w:t>
            </w:r>
          </w:p>
        </w:tc>
        <w:tc>
          <w:tcPr>
            <w:tcW w:w="799" w:type="pct"/>
            <w:vAlign w:val="bottom"/>
          </w:tcPr>
          <w:p w14:paraId="11246F48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***.145.885-**</w:t>
            </w:r>
          </w:p>
        </w:tc>
        <w:tc>
          <w:tcPr>
            <w:tcW w:w="694" w:type="pct"/>
            <w:vAlign w:val="center"/>
          </w:tcPr>
          <w:p w14:paraId="3DCDE982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R$ 82.155,31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1F83FD9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R$ 49.293,19</w:t>
            </w:r>
          </w:p>
        </w:tc>
        <w:tc>
          <w:tcPr>
            <w:tcW w:w="742" w:type="pct"/>
            <w:shd w:val="clear" w:color="auto" w:fill="auto"/>
            <w:vAlign w:val="center"/>
          </w:tcPr>
          <w:p w14:paraId="25A449C5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R$ 16.431,06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AAEE216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R$ 8.215,53</w:t>
            </w:r>
          </w:p>
        </w:tc>
        <w:tc>
          <w:tcPr>
            <w:tcW w:w="688" w:type="pct"/>
            <w:vAlign w:val="center"/>
          </w:tcPr>
          <w:p w14:paraId="12241F77" w14:textId="77777777" w:rsidR="008E03C1" w:rsidRPr="002E634B" w:rsidRDefault="008E03C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R$ 8.215,53</w:t>
            </w:r>
          </w:p>
        </w:tc>
      </w:tr>
      <w:tr w:rsidR="008E03C1" w:rsidRPr="002E634B" w14:paraId="4BFBD8B8" w14:textId="77777777" w:rsidTr="002E634B">
        <w:trPr>
          <w:trHeight w:val="340"/>
        </w:trPr>
        <w:tc>
          <w:tcPr>
            <w:tcW w:w="1447" w:type="pct"/>
            <w:gridSpan w:val="2"/>
            <w:shd w:val="clear" w:color="auto" w:fill="005051"/>
            <w:vAlign w:val="center"/>
          </w:tcPr>
          <w:p w14:paraId="09833B59" w14:textId="77777777" w:rsidR="008E03C1" w:rsidRPr="002E634B" w:rsidRDefault="008E03C1" w:rsidP="00663741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694" w:type="pct"/>
            <w:shd w:val="clear" w:color="auto" w:fill="005051"/>
            <w:vAlign w:val="center"/>
          </w:tcPr>
          <w:p w14:paraId="0A888B2B" w14:textId="77777777" w:rsidR="008E03C1" w:rsidRPr="002E634B" w:rsidRDefault="008E03C1" w:rsidP="00663741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R$ 503.571,10</w:t>
            </w:r>
          </w:p>
        </w:tc>
        <w:tc>
          <w:tcPr>
            <w:tcW w:w="739" w:type="pct"/>
            <w:shd w:val="clear" w:color="auto" w:fill="005051"/>
            <w:vAlign w:val="center"/>
          </w:tcPr>
          <w:p w14:paraId="334FAF30" w14:textId="77777777" w:rsidR="008E03C1" w:rsidRPr="002E634B" w:rsidRDefault="008E03C1" w:rsidP="00663741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R$ 302.142,64</w:t>
            </w:r>
          </w:p>
        </w:tc>
        <w:tc>
          <w:tcPr>
            <w:tcW w:w="742" w:type="pct"/>
            <w:shd w:val="clear" w:color="auto" w:fill="005051"/>
            <w:vAlign w:val="center"/>
          </w:tcPr>
          <w:p w14:paraId="1300919E" w14:textId="77777777" w:rsidR="008E03C1" w:rsidRPr="002E634B" w:rsidRDefault="008E03C1" w:rsidP="00663741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R$ 100.714,20</w:t>
            </w:r>
          </w:p>
        </w:tc>
        <w:tc>
          <w:tcPr>
            <w:tcW w:w="689" w:type="pct"/>
            <w:shd w:val="clear" w:color="auto" w:fill="005051"/>
            <w:vAlign w:val="center"/>
          </w:tcPr>
          <w:p w14:paraId="17DF1153" w14:textId="77777777" w:rsidR="008E03C1" w:rsidRPr="002E634B" w:rsidRDefault="008E03C1" w:rsidP="00663741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R$ 50.357,13</w:t>
            </w:r>
          </w:p>
        </w:tc>
        <w:tc>
          <w:tcPr>
            <w:tcW w:w="688" w:type="pct"/>
            <w:shd w:val="clear" w:color="auto" w:fill="005051"/>
            <w:vAlign w:val="center"/>
          </w:tcPr>
          <w:p w14:paraId="63A85619" w14:textId="77777777" w:rsidR="008E03C1" w:rsidRPr="002E634B" w:rsidRDefault="008E03C1" w:rsidP="00663741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2E634B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R$ 50.357,13</w:t>
            </w:r>
          </w:p>
        </w:tc>
      </w:tr>
    </w:tbl>
    <w:p w14:paraId="522693B4" w14:textId="2205B0D3" w:rsidR="000C0D6A" w:rsidRPr="008E03C1" w:rsidRDefault="000C0D6A" w:rsidP="008E03C1">
      <w:pPr>
        <w:spacing w:after="120" w:line="360" w:lineRule="auto"/>
        <w:jc w:val="both"/>
        <w:rPr>
          <w:rFonts w:ascii="Tahoma" w:eastAsia="Times New Roman" w:hAnsi="Tahoma" w:cs="Tahoma"/>
          <w:sz w:val="18"/>
          <w:szCs w:val="18"/>
          <w:lang w:eastAsia="pt-BR"/>
        </w:rPr>
      </w:pPr>
      <w:r w:rsidRPr="008E03C1">
        <w:rPr>
          <w:rFonts w:ascii="Tahoma" w:eastAsia="Times New Roman" w:hAnsi="Tahoma" w:cs="Tahoma"/>
          <w:sz w:val="18"/>
          <w:szCs w:val="18"/>
          <w:lang w:eastAsia="pt-BR"/>
        </w:rPr>
        <w:t>Fonte: Área de Gestão de Pessoas (AGEP/Finep)</w:t>
      </w:r>
    </w:p>
    <w:p w14:paraId="3CC8B10D" w14:textId="77777777" w:rsidR="008E03C1" w:rsidRPr="007C18AB" w:rsidRDefault="008E03C1" w:rsidP="002E634B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O pagamento da parcela à vista é realizado após revisão pela Auditoria Interna e autorização do C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onselho de 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A</w:t>
      </w:r>
      <w:r>
        <w:rPr>
          <w:rFonts w:ascii="Tahoma" w:eastAsia="Times New Roman" w:hAnsi="Tahoma" w:cs="Tahoma"/>
          <w:sz w:val="19"/>
          <w:szCs w:val="19"/>
          <w:lang w:eastAsia="pt-BR"/>
        </w:rPr>
        <w:t>dministração, precedida de avaliação do Comitê de Auditoria estatutário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.</w:t>
      </w:r>
    </w:p>
    <w:p w14:paraId="70B531F5" w14:textId="77777777" w:rsidR="008E03C1" w:rsidRDefault="008E03C1" w:rsidP="002E634B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Em relação às parcelas diferidas, o pagamento é condicionado à avaliação de condicionantes e limites, que constam no Programa de RVA e ocorrerá, estando tudo conforme, após a Assembleia Geral Ordinária dos anos indicados (202</w:t>
      </w:r>
      <w:r>
        <w:rPr>
          <w:rFonts w:ascii="Tahoma" w:eastAsia="Times New Roman" w:hAnsi="Tahoma" w:cs="Tahoma"/>
          <w:sz w:val="19"/>
          <w:szCs w:val="19"/>
          <w:lang w:eastAsia="pt-BR"/>
        </w:rPr>
        <w:t>5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, 202</w:t>
      </w:r>
      <w:r>
        <w:rPr>
          <w:rFonts w:ascii="Tahoma" w:eastAsia="Times New Roman" w:hAnsi="Tahoma" w:cs="Tahoma"/>
          <w:sz w:val="19"/>
          <w:szCs w:val="19"/>
          <w:lang w:eastAsia="pt-BR"/>
        </w:rPr>
        <w:t>6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 e 202</w:t>
      </w:r>
      <w:r>
        <w:rPr>
          <w:rFonts w:ascii="Tahoma" w:eastAsia="Times New Roman" w:hAnsi="Tahoma" w:cs="Tahoma"/>
          <w:sz w:val="19"/>
          <w:szCs w:val="19"/>
          <w:lang w:eastAsia="pt-BR"/>
        </w:rPr>
        <w:t>7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)</w:t>
      </w:r>
      <w:r>
        <w:rPr>
          <w:rFonts w:ascii="Tahoma" w:eastAsia="Times New Roman" w:hAnsi="Tahoma" w:cs="Tahoma"/>
          <w:sz w:val="19"/>
          <w:szCs w:val="19"/>
          <w:lang w:eastAsia="pt-BR"/>
        </w:rPr>
        <w:t>, devendo haver ainda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 autorização do C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onselho de 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A</w:t>
      </w:r>
      <w:r>
        <w:rPr>
          <w:rFonts w:ascii="Tahoma" w:eastAsia="Times New Roman" w:hAnsi="Tahoma" w:cs="Tahoma"/>
          <w:sz w:val="19"/>
          <w:szCs w:val="19"/>
          <w:lang w:eastAsia="pt-BR"/>
        </w:rPr>
        <w:t>dministração, que é precedida de avaliação do Comitê de Auditoria estatutário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.</w:t>
      </w:r>
    </w:p>
    <w:p w14:paraId="657C2BC4" w14:textId="15F80962" w:rsidR="008365A1" w:rsidRDefault="008365A1" w:rsidP="002E634B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Foram apurados ainda os valores e atendimentos de condicionantes referentes às parcelas diferidas</w:t>
      </w:r>
      <w:r w:rsidR="008357C4">
        <w:rPr>
          <w:rFonts w:ascii="Tahoma" w:eastAsia="Times New Roman" w:hAnsi="Tahoma" w:cs="Tahoma"/>
          <w:sz w:val="19"/>
          <w:szCs w:val="19"/>
          <w:lang w:eastAsia="pt-BR"/>
        </w:rPr>
        <w:t xml:space="preserve"> (Tabela 3)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 das RVA dos exercícios de </w:t>
      </w:r>
      <w:r>
        <w:rPr>
          <w:rFonts w:ascii="Tahoma" w:eastAsia="Times New Roman" w:hAnsi="Tahoma" w:cs="Tahoma"/>
          <w:sz w:val="19"/>
          <w:szCs w:val="19"/>
          <w:lang w:eastAsia="pt-BR"/>
        </w:rPr>
        <w:t>2022 (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1ª parcela diferida)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, 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2021 (</w:t>
      </w:r>
      <w:r>
        <w:rPr>
          <w:rFonts w:ascii="Tahoma" w:eastAsia="Times New Roman" w:hAnsi="Tahoma" w:cs="Tahoma"/>
          <w:sz w:val="19"/>
          <w:szCs w:val="19"/>
          <w:lang w:eastAsia="pt-BR"/>
        </w:rPr>
        <w:t>2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ª parcela diferida) e 2020 (</w:t>
      </w:r>
      <w:r>
        <w:rPr>
          <w:rFonts w:ascii="Tahoma" w:eastAsia="Times New Roman" w:hAnsi="Tahoma" w:cs="Tahoma"/>
          <w:sz w:val="19"/>
          <w:szCs w:val="19"/>
          <w:lang w:eastAsia="pt-BR"/>
        </w:rPr>
        <w:t>3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ª parcela diferida). Os valores dessas parcelas</w:t>
      </w:r>
      <w:r>
        <w:rPr>
          <w:rFonts w:ascii="Tahoma" w:eastAsia="Times New Roman" w:hAnsi="Tahoma" w:cs="Tahoma"/>
          <w:sz w:val="19"/>
          <w:szCs w:val="19"/>
          <w:lang w:eastAsia="pt-BR"/>
        </w:rPr>
        <w:t>,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 em </w:t>
      </w:r>
      <w:r>
        <w:rPr>
          <w:rFonts w:ascii="Tahoma" w:eastAsia="Times New Roman" w:hAnsi="Tahoma" w:cs="Tahoma"/>
          <w:sz w:val="19"/>
          <w:szCs w:val="19"/>
          <w:lang w:eastAsia="pt-BR"/>
        </w:rPr>
        <w:t>montante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 de R$ </w:t>
      </w:r>
      <w:r>
        <w:rPr>
          <w:rFonts w:ascii="Tahoma" w:eastAsia="Times New Roman" w:hAnsi="Tahoma" w:cs="Tahoma"/>
          <w:sz w:val="19"/>
          <w:szCs w:val="19"/>
          <w:lang w:eastAsia="pt-BR"/>
        </w:rPr>
        <w:t>144.278,60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, serão pagos juntamente com a parcela à vista da RVA 202</w:t>
      </w:r>
      <w:r>
        <w:rPr>
          <w:rFonts w:ascii="Tahoma" w:eastAsia="Times New Roman" w:hAnsi="Tahoma" w:cs="Tahoma"/>
          <w:sz w:val="19"/>
          <w:szCs w:val="19"/>
          <w:lang w:eastAsia="pt-BR"/>
        </w:rPr>
        <w:t>3, após as devidas autorizações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:</w:t>
      </w:r>
    </w:p>
    <w:p w14:paraId="6673B447" w14:textId="77777777" w:rsidR="002E634B" w:rsidRDefault="002E634B" w:rsidP="008365A1">
      <w:pPr>
        <w:spacing w:before="120" w:after="0" w:line="24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</w:p>
    <w:p w14:paraId="67A7EFB8" w14:textId="23882B40" w:rsidR="008365A1" w:rsidRDefault="008365A1" w:rsidP="002E634B">
      <w:pPr>
        <w:spacing w:before="120" w:after="0" w:line="360" w:lineRule="auto"/>
        <w:jc w:val="both"/>
        <w:rPr>
          <w:rFonts w:ascii="Tahoma" w:eastAsia="Times New Roman" w:hAnsi="Tahoma" w:cs="Tahoma"/>
          <w:i/>
          <w:iCs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i/>
          <w:iCs/>
          <w:sz w:val="19"/>
          <w:szCs w:val="19"/>
          <w:lang w:eastAsia="pt-BR"/>
        </w:rPr>
        <w:lastRenderedPageBreak/>
        <w:t xml:space="preserve">Tabela </w:t>
      </w:r>
      <w:r w:rsidR="002E634B">
        <w:rPr>
          <w:rFonts w:ascii="Tahoma" w:eastAsia="Times New Roman" w:hAnsi="Tahoma" w:cs="Tahoma"/>
          <w:i/>
          <w:iCs/>
          <w:sz w:val="19"/>
          <w:szCs w:val="19"/>
          <w:lang w:eastAsia="pt-BR"/>
        </w:rPr>
        <w:t>3</w:t>
      </w:r>
      <w:r w:rsidRPr="007C18AB">
        <w:rPr>
          <w:rFonts w:ascii="Tahoma" w:eastAsia="Times New Roman" w:hAnsi="Tahoma" w:cs="Tahoma"/>
          <w:i/>
          <w:iCs/>
          <w:sz w:val="19"/>
          <w:szCs w:val="19"/>
          <w:lang w:eastAsia="pt-BR"/>
        </w:rPr>
        <w:t xml:space="preserve"> - RVA </w:t>
      </w:r>
      <w:r>
        <w:rPr>
          <w:rFonts w:ascii="Tahoma" w:eastAsia="Times New Roman" w:hAnsi="Tahoma" w:cs="Tahoma"/>
          <w:i/>
          <w:iCs/>
          <w:sz w:val="19"/>
          <w:szCs w:val="19"/>
          <w:lang w:eastAsia="pt-BR"/>
        </w:rPr>
        <w:t xml:space="preserve">dos exercícios de 2022, </w:t>
      </w:r>
      <w:r w:rsidRPr="007C18AB">
        <w:rPr>
          <w:rFonts w:ascii="Tahoma" w:eastAsia="Times New Roman" w:hAnsi="Tahoma" w:cs="Tahoma"/>
          <w:i/>
          <w:iCs/>
          <w:sz w:val="19"/>
          <w:szCs w:val="19"/>
          <w:lang w:eastAsia="pt-BR"/>
        </w:rPr>
        <w:t>2021 e RVA 2020 – parcelas diferidas</w:t>
      </w:r>
    </w:p>
    <w:tbl>
      <w:tblPr>
        <w:tblW w:w="4062" w:type="pct"/>
        <w:tblBorders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5"/>
        <w:gridCol w:w="1630"/>
        <w:gridCol w:w="1646"/>
        <w:gridCol w:w="1695"/>
        <w:gridCol w:w="1694"/>
      </w:tblGrid>
      <w:tr w:rsidR="008365A1" w:rsidRPr="00B71792" w14:paraId="6BE0E1A7" w14:textId="77777777" w:rsidTr="002E634B">
        <w:trPr>
          <w:trHeight w:val="340"/>
        </w:trPr>
        <w:tc>
          <w:tcPr>
            <w:tcW w:w="829" w:type="pct"/>
            <w:shd w:val="clear" w:color="auto" w:fill="005051"/>
            <w:vAlign w:val="center"/>
            <w:hideMark/>
          </w:tcPr>
          <w:p w14:paraId="30A446CD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Diretoria</w:t>
            </w:r>
          </w:p>
        </w:tc>
        <w:tc>
          <w:tcPr>
            <w:tcW w:w="1020" w:type="pct"/>
            <w:shd w:val="clear" w:color="auto" w:fill="005051"/>
            <w:vAlign w:val="center"/>
          </w:tcPr>
          <w:p w14:paraId="293D01F6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CPF do ocupante</w:t>
            </w:r>
          </w:p>
        </w:tc>
        <w:tc>
          <w:tcPr>
            <w:tcW w:w="1030" w:type="pct"/>
            <w:shd w:val="clear" w:color="auto" w:fill="005051"/>
            <w:vAlign w:val="center"/>
          </w:tcPr>
          <w:p w14:paraId="24810BE4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RVA 2022</w:t>
            </w:r>
          </w:p>
          <w:p w14:paraId="05B1F549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1ª parcela diferida</w:t>
            </w:r>
          </w:p>
          <w:p w14:paraId="171BA1A0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(20%)</w:t>
            </w:r>
          </w:p>
        </w:tc>
        <w:tc>
          <w:tcPr>
            <w:tcW w:w="1061" w:type="pct"/>
            <w:shd w:val="clear" w:color="auto" w:fill="005051"/>
            <w:vAlign w:val="center"/>
          </w:tcPr>
          <w:p w14:paraId="1A144222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RVA 2021</w:t>
            </w:r>
          </w:p>
          <w:p w14:paraId="1639BF03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2ª parcela diferida</w:t>
            </w:r>
          </w:p>
          <w:p w14:paraId="40619375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(10%)</w:t>
            </w:r>
          </w:p>
        </w:tc>
        <w:tc>
          <w:tcPr>
            <w:tcW w:w="1060" w:type="pct"/>
            <w:shd w:val="clear" w:color="auto" w:fill="005051"/>
            <w:vAlign w:val="center"/>
          </w:tcPr>
          <w:p w14:paraId="7A62C046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RVA 2020</w:t>
            </w:r>
          </w:p>
          <w:p w14:paraId="3977364A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3ª parcela diferida</w:t>
            </w:r>
          </w:p>
          <w:p w14:paraId="2D6A8E46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</w:pPr>
            <w:r w:rsidRPr="00B71792">
              <w:rPr>
                <w:rFonts w:ascii="Tahoma" w:eastAsia="Times New Roman" w:hAnsi="Tahoma" w:cs="Tahoma"/>
                <w:bCs/>
                <w:sz w:val="18"/>
                <w:szCs w:val="18"/>
                <w:lang w:eastAsia="pt-BR"/>
              </w:rPr>
              <w:t>(10%)</w:t>
            </w:r>
          </w:p>
        </w:tc>
      </w:tr>
      <w:tr w:rsidR="008365A1" w:rsidRPr="002E634B" w14:paraId="377EA349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2D3DB5C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bookmarkStart w:id="31" w:name="_Hlk166062215"/>
            <w:r w:rsidRPr="002E634B">
              <w:rPr>
                <w:rFonts w:ascii="Tahoma" w:hAnsi="Tahoma" w:cs="Tahoma"/>
                <w:sz w:val="18"/>
                <w:szCs w:val="18"/>
              </w:rPr>
              <w:t>Presidência</w:t>
            </w:r>
          </w:p>
        </w:tc>
        <w:tc>
          <w:tcPr>
            <w:tcW w:w="1020" w:type="pct"/>
            <w:vAlign w:val="bottom"/>
          </w:tcPr>
          <w:p w14:paraId="3373AC13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***.067.557-**</w:t>
            </w:r>
          </w:p>
        </w:tc>
        <w:tc>
          <w:tcPr>
            <w:tcW w:w="1030" w:type="pct"/>
            <w:vAlign w:val="center"/>
          </w:tcPr>
          <w:p w14:paraId="779D1663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pt-BR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R$ 18.931,57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070CAB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pt-BR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R$ 6.370,43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621E17A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R$ 4.723,40</w:t>
            </w:r>
          </w:p>
        </w:tc>
      </w:tr>
      <w:tr w:rsidR="008365A1" w:rsidRPr="002E634B" w14:paraId="0D4E0DF1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104AE8C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DADM</w:t>
            </w:r>
          </w:p>
        </w:tc>
        <w:tc>
          <w:tcPr>
            <w:tcW w:w="1020" w:type="pct"/>
            <w:vAlign w:val="bottom"/>
          </w:tcPr>
          <w:p w14:paraId="24D12284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***.636.236-**</w:t>
            </w:r>
          </w:p>
        </w:tc>
        <w:tc>
          <w:tcPr>
            <w:tcW w:w="1030" w:type="pct"/>
            <w:vAlign w:val="center"/>
          </w:tcPr>
          <w:p w14:paraId="0625DDF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R$ 18.030,06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5C15FE3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R$ 6.085,10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16887DC8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R$ 5.399,97</w:t>
            </w:r>
          </w:p>
        </w:tc>
      </w:tr>
      <w:tr w:rsidR="008365A1" w:rsidRPr="002E634B" w14:paraId="57F32209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06799771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DRCT</w:t>
            </w:r>
          </w:p>
        </w:tc>
        <w:tc>
          <w:tcPr>
            <w:tcW w:w="1020" w:type="pct"/>
            <w:vAlign w:val="bottom"/>
          </w:tcPr>
          <w:p w14:paraId="01B38912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***.615.277-**</w:t>
            </w:r>
          </w:p>
        </w:tc>
        <w:tc>
          <w:tcPr>
            <w:tcW w:w="1030" w:type="pct"/>
            <w:vAlign w:val="center"/>
          </w:tcPr>
          <w:p w14:paraId="5F9E21CC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R$ 18.030,06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0837A0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R$ 6.085,10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5EED7D77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R$ 5.399,97</w:t>
            </w:r>
          </w:p>
        </w:tc>
      </w:tr>
      <w:tr w:rsidR="008365A1" w:rsidRPr="002E634B" w14:paraId="7F87406F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256D8B03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DRFC</w:t>
            </w:r>
          </w:p>
        </w:tc>
        <w:tc>
          <w:tcPr>
            <w:tcW w:w="1020" w:type="pct"/>
            <w:vAlign w:val="bottom"/>
          </w:tcPr>
          <w:p w14:paraId="767AC076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***.034.918-**</w:t>
            </w:r>
          </w:p>
        </w:tc>
        <w:tc>
          <w:tcPr>
            <w:tcW w:w="1030" w:type="pct"/>
            <w:vAlign w:val="center"/>
          </w:tcPr>
          <w:p w14:paraId="5E366EEB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R$ 16.227,05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94A178B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R$ 6.040,03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5A761818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R$ 5.399,97</w:t>
            </w:r>
          </w:p>
        </w:tc>
      </w:tr>
      <w:tr w:rsidR="008365A1" w:rsidRPr="002E634B" w14:paraId="3243387C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02BFDBDD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DRIN</w:t>
            </w:r>
          </w:p>
        </w:tc>
        <w:tc>
          <w:tcPr>
            <w:tcW w:w="1020" w:type="pct"/>
            <w:vAlign w:val="bottom"/>
          </w:tcPr>
          <w:p w14:paraId="15625261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***.168.904-**</w:t>
            </w:r>
          </w:p>
        </w:tc>
        <w:tc>
          <w:tcPr>
            <w:tcW w:w="1030" w:type="pct"/>
            <w:vAlign w:val="center"/>
          </w:tcPr>
          <w:p w14:paraId="77FF0357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R$ 18.030,06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D3028FA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R$ 2.696,57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0BA0C8C7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</w:tr>
      <w:tr w:rsidR="008365A1" w:rsidRPr="002E634B" w14:paraId="1BC9509D" w14:textId="77777777" w:rsidTr="002E634B">
        <w:trPr>
          <w:trHeight w:val="340"/>
        </w:trPr>
        <w:tc>
          <w:tcPr>
            <w:tcW w:w="829" w:type="pct"/>
            <w:shd w:val="clear" w:color="auto" w:fill="auto"/>
            <w:vAlign w:val="center"/>
          </w:tcPr>
          <w:p w14:paraId="57DABDBE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634B">
              <w:rPr>
                <w:rFonts w:ascii="Tahoma" w:hAnsi="Tahoma" w:cs="Tahoma"/>
                <w:sz w:val="18"/>
                <w:szCs w:val="18"/>
              </w:rPr>
              <w:t>DRIN</w:t>
            </w:r>
          </w:p>
        </w:tc>
        <w:tc>
          <w:tcPr>
            <w:tcW w:w="1020" w:type="pct"/>
            <w:vAlign w:val="bottom"/>
          </w:tcPr>
          <w:p w14:paraId="7DAE13E9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***.068.577-**</w:t>
            </w:r>
          </w:p>
        </w:tc>
        <w:tc>
          <w:tcPr>
            <w:tcW w:w="1030" w:type="pct"/>
            <w:vAlign w:val="center"/>
          </w:tcPr>
          <w:p w14:paraId="1A3ED572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78F3D5E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R$ 2.330,78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4D323FE0" w14:textId="77777777" w:rsidR="008365A1" w:rsidRPr="002E634B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634B">
              <w:rPr>
                <w:rFonts w:ascii="Tahoma" w:hAnsi="Tahoma" w:cs="Tahoma"/>
                <w:color w:val="000000"/>
                <w:sz w:val="18"/>
                <w:szCs w:val="18"/>
              </w:rPr>
              <w:t>R$ 4.498,48</w:t>
            </w:r>
          </w:p>
        </w:tc>
      </w:tr>
      <w:bookmarkEnd w:id="31"/>
      <w:tr w:rsidR="008365A1" w:rsidRPr="00B71792" w14:paraId="19541EEE" w14:textId="77777777" w:rsidTr="00B71792">
        <w:trPr>
          <w:trHeight w:val="340"/>
        </w:trPr>
        <w:tc>
          <w:tcPr>
            <w:tcW w:w="1849" w:type="pct"/>
            <w:gridSpan w:val="2"/>
            <w:shd w:val="clear" w:color="auto" w:fill="005051"/>
            <w:vAlign w:val="center"/>
          </w:tcPr>
          <w:p w14:paraId="15266184" w14:textId="77777777" w:rsidR="008365A1" w:rsidRPr="00B71792" w:rsidRDefault="008365A1" w:rsidP="001B5F12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B71792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030" w:type="pct"/>
            <w:shd w:val="clear" w:color="auto" w:fill="005051"/>
            <w:vAlign w:val="center"/>
          </w:tcPr>
          <w:p w14:paraId="7C77CD8E" w14:textId="77777777" w:rsidR="008365A1" w:rsidRPr="00B71792" w:rsidRDefault="008365A1" w:rsidP="00B71792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B71792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R$ 89.248,80</w:t>
            </w:r>
          </w:p>
        </w:tc>
        <w:tc>
          <w:tcPr>
            <w:tcW w:w="1061" w:type="pct"/>
            <w:shd w:val="clear" w:color="auto" w:fill="005051"/>
            <w:vAlign w:val="center"/>
          </w:tcPr>
          <w:p w14:paraId="1B15C12A" w14:textId="77777777" w:rsidR="008365A1" w:rsidRPr="00B71792" w:rsidRDefault="008365A1" w:rsidP="00B71792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B71792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R$ 29.608,01</w:t>
            </w:r>
          </w:p>
        </w:tc>
        <w:tc>
          <w:tcPr>
            <w:tcW w:w="1060" w:type="pct"/>
            <w:shd w:val="clear" w:color="auto" w:fill="005051"/>
            <w:vAlign w:val="center"/>
          </w:tcPr>
          <w:p w14:paraId="2CA03669" w14:textId="77777777" w:rsidR="008365A1" w:rsidRPr="00B71792" w:rsidRDefault="008365A1" w:rsidP="00B71792">
            <w:pPr>
              <w:spacing w:after="0" w:line="240" w:lineRule="auto"/>
              <w:jc w:val="center"/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</w:pPr>
            <w:r w:rsidRPr="00B71792">
              <w:rPr>
                <w:rFonts w:ascii="Tahoma" w:hAnsi="Tahoma" w:cs="Tahoma"/>
                <w:bCs/>
                <w:color w:val="FFFFFF" w:themeColor="background1"/>
                <w:sz w:val="18"/>
                <w:szCs w:val="18"/>
              </w:rPr>
              <w:t>R$ 25.421,79</w:t>
            </w:r>
          </w:p>
        </w:tc>
      </w:tr>
    </w:tbl>
    <w:p w14:paraId="4B33608F" w14:textId="77777777" w:rsidR="008365A1" w:rsidRPr="002E634B" w:rsidRDefault="008365A1" w:rsidP="002E634B">
      <w:pPr>
        <w:spacing w:after="120" w:line="360" w:lineRule="auto"/>
        <w:jc w:val="both"/>
        <w:rPr>
          <w:rFonts w:ascii="Tahoma" w:eastAsia="Times New Roman" w:hAnsi="Tahoma" w:cs="Tahoma"/>
          <w:sz w:val="18"/>
          <w:szCs w:val="18"/>
          <w:lang w:eastAsia="pt-BR"/>
        </w:rPr>
      </w:pPr>
      <w:r w:rsidRPr="002E634B">
        <w:rPr>
          <w:rFonts w:ascii="Tahoma" w:eastAsia="Times New Roman" w:hAnsi="Tahoma" w:cs="Tahoma"/>
          <w:sz w:val="18"/>
          <w:szCs w:val="18"/>
          <w:lang w:eastAsia="pt-BR"/>
        </w:rPr>
        <w:t>Fonte: Área de Gestão de Pessoas (AGEP/Finep)</w:t>
      </w:r>
    </w:p>
    <w:p w14:paraId="537EC7C5" w14:textId="77777777" w:rsidR="008365A1" w:rsidRPr="007C18AB" w:rsidRDefault="008365A1" w:rsidP="00B71792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Em relação ao montante máximo autorizado, os valores, que foram aprovados na </w:t>
      </w:r>
      <w:r>
        <w:rPr>
          <w:rFonts w:ascii="Tahoma" w:eastAsia="Times New Roman" w:hAnsi="Tahoma" w:cs="Tahoma"/>
          <w:sz w:val="19"/>
          <w:szCs w:val="19"/>
          <w:lang w:eastAsia="pt-BR"/>
        </w:rPr>
        <w:t>8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ª Assembleia Geral Ordinária da Finep, realizada em </w:t>
      </w:r>
      <w:r>
        <w:rPr>
          <w:rFonts w:ascii="Tahoma" w:eastAsia="Times New Roman" w:hAnsi="Tahoma" w:cs="Tahoma"/>
          <w:sz w:val="19"/>
          <w:szCs w:val="19"/>
          <w:lang w:eastAsia="pt-BR"/>
        </w:rPr>
        <w:t>30/04/2024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, são os seguintes:</w:t>
      </w:r>
    </w:p>
    <w:p w14:paraId="41C2B798" w14:textId="77777777" w:rsidR="008365A1" w:rsidRPr="00B71792" w:rsidRDefault="008365A1" w:rsidP="00B71792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B71792">
        <w:rPr>
          <w:rFonts w:ascii="Tahoma" w:hAnsi="Tahoma" w:cs="Tahoma"/>
          <w:bCs/>
          <w:sz w:val="19"/>
          <w:szCs w:val="19"/>
        </w:rPr>
        <w:t>RVA 2023 (parcela à vista): R$ 409.733,23</w:t>
      </w:r>
    </w:p>
    <w:p w14:paraId="660A12B1" w14:textId="77777777" w:rsidR="008365A1" w:rsidRPr="00B71792" w:rsidRDefault="008365A1" w:rsidP="00B71792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B71792">
        <w:rPr>
          <w:rFonts w:ascii="Tahoma" w:hAnsi="Tahoma" w:cs="Tahoma"/>
          <w:bCs/>
          <w:sz w:val="19"/>
          <w:szCs w:val="19"/>
        </w:rPr>
        <w:t>RVA 2022 (1ª parcela diferida): R$ 136.577,74.</w:t>
      </w:r>
    </w:p>
    <w:p w14:paraId="2B7BED4A" w14:textId="77777777" w:rsidR="008365A1" w:rsidRPr="00B71792" w:rsidRDefault="008365A1" w:rsidP="00B71792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B71792">
        <w:rPr>
          <w:rFonts w:ascii="Tahoma" w:hAnsi="Tahoma" w:cs="Tahoma"/>
          <w:bCs/>
          <w:sz w:val="19"/>
          <w:szCs w:val="19"/>
        </w:rPr>
        <w:t>RVA 2021 (2ª parcela diferida): R$ 68.288,87.</w:t>
      </w:r>
    </w:p>
    <w:p w14:paraId="4C4AF351" w14:textId="77777777" w:rsidR="008365A1" w:rsidRPr="00B71792" w:rsidRDefault="008365A1" w:rsidP="00B71792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B71792">
        <w:rPr>
          <w:rFonts w:ascii="Tahoma" w:hAnsi="Tahoma" w:cs="Tahoma"/>
          <w:bCs/>
          <w:sz w:val="19"/>
          <w:szCs w:val="19"/>
        </w:rPr>
        <w:t>RVA 2020 (3ª parcela diferida): R$ 68.288,87.</w:t>
      </w:r>
    </w:p>
    <w:p w14:paraId="7265568B" w14:textId="1AD790C5" w:rsidR="008365A1" w:rsidRPr="007C18AB" w:rsidRDefault="008365A1" w:rsidP="00B71792">
      <w:pPr>
        <w:spacing w:before="120" w:after="120" w:line="360" w:lineRule="auto"/>
        <w:jc w:val="both"/>
        <w:rPr>
          <w:rFonts w:ascii="Tahoma" w:eastAsia="Times New Roman" w:hAnsi="Tahoma" w:cs="Tahoma"/>
          <w:sz w:val="19"/>
          <w:szCs w:val="19"/>
          <w:lang w:eastAsia="pt-BR"/>
        </w:rPr>
      </w:pPr>
      <w:r w:rsidRPr="007C18AB">
        <w:rPr>
          <w:rFonts w:ascii="Tahoma" w:eastAsia="Times New Roman" w:hAnsi="Tahoma" w:cs="Tahoma"/>
          <w:sz w:val="19"/>
          <w:szCs w:val="19"/>
          <w:lang w:eastAsia="pt-BR"/>
        </w:rPr>
        <w:t xml:space="preserve">Os valores autorizados 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pela </w:t>
      </w:r>
      <w:r w:rsidR="00861264">
        <w:rPr>
          <w:rFonts w:ascii="Tahoma" w:eastAsia="Times New Roman" w:hAnsi="Tahoma" w:cs="Tahoma"/>
          <w:sz w:val="19"/>
          <w:szCs w:val="19"/>
          <w:lang w:eastAsia="pt-BR"/>
        </w:rPr>
        <w:t>Assembleia Geral Ordinária (</w:t>
      </w:r>
      <w:r>
        <w:rPr>
          <w:rFonts w:ascii="Tahoma" w:eastAsia="Times New Roman" w:hAnsi="Tahoma" w:cs="Tahoma"/>
          <w:sz w:val="19"/>
          <w:szCs w:val="19"/>
          <w:lang w:eastAsia="pt-BR"/>
        </w:rPr>
        <w:t>AGO</w:t>
      </w:r>
      <w:r w:rsidR="00861264">
        <w:rPr>
          <w:rFonts w:ascii="Tahoma" w:eastAsia="Times New Roman" w:hAnsi="Tahoma" w:cs="Tahoma"/>
          <w:sz w:val="19"/>
          <w:szCs w:val="19"/>
          <w:lang w:eastAsia="pt-BR"/>
        </w:rPr>
        <w:t>)</w:t>
      </w:r>
      <w:r>
        <w:rPr>
          <w:rFonts w:ascii="Tahoma" w:eastAsia="Times New Roman" w:hAnsi="Tahoma" w:cs="Tahoma"/>
          <w:sz w:val="19"/>
          <w:szCs w:val="19"/>
          <w:lang w:eastAsia="pt-BR"/>
        </w:rPr>
        <w:t xml:space="preserve"> </w:t>
      </w:r>
      <w:r w:rsidRPr="007C18AB">
        <w:rPr>
          <w:rFonts w:ascii="Tahoma" w:eastAsia="Times New Roman" w:hAnsi="Tahoma" w:cs="Tahoma"/>
          <w:sz w:val="19"/>
          <w:szCs w:val="19"/>
          <w:lang w:eastAsia="pt-BR"/>
        </w:rPr>
        <w:t>são maiores do que aqueles que serão efetivamente pagos, pois consideram o patamar máximo de pagamento, de 3 (três) honorários, o que não se configurou na prática em nenhum dos exercícios.</w:t>
      </w:r>
    </w:p>
    <w:p w14:paraId="34B616D2" w14:textId="77777777" w:rsidR="008365A1" w:rsidRDefault="008365A1" w:rsidP="00B71792">
      <w:pPr>
        <w:spacing w:before="120" w:after="120" w:line="360" w:lineRule="auto"/>
        <w:rPr>
          <w:rFonts w:ascii="Tahoma" w:eastAsia="SimSun" w:hAnsi="Tahoma" w:cs="Tahoma"/>
          <w:color w:val="0563C1"/>
          <w:kern w:val="3"/>
          <w:sz w:val="19"/>
          <w:szCs w:val="19"/>
          <w:u w:val="single"/>
          <w:lang w:bidi="hi-IN"/>
        </w:rPr>
      </w:pPr>
      <w:r w:rsidRPr="007C18AB">
        <w:rPr>
          <w:rFonts w:ascii="Tahoma" w:eastAsia="SimSun" w:hAnsi="Tahoma" w:cs="Tahoma"/>
          <w:kern w:val="3"/>
          <w:sz w:val="19"/>
          <w:szCs w:val="19"/>
          <w:lang w:bidi="hi-IN"/>
        </w:rPr>
        <w:t xml:space="preserve">As Demonstrações Contábeis da Finep podem ser acessadas em </w:t>
      </w:r>
      <w:hyperlink r:id="rId45" w:history="1">
        <w:r w:rsidRPr="007C7E34">
          <w:rPr>
            <w:rStyle w:val="Hyperlink"/>
          </w:rPr>
          <w:t>http://www.finep.gov.br/images/acesso-a-informacao/Balanço_Finep/2023/03_05_2024_Demonstracoes_Contabeis_Notas_Explicativas_Finep_2023.pdf</w:t>
        </w:r>
      </w:hyperlink>
      <w:r>
        <w:t xml:space="preserve"> </w:t>
      </w:r>
    </w:p>
    <w:p w14:paraId="6D9439F3" w14:textId="77777777" w:rsidR="0047337E" w:rsidRPr="00247669" w:rsidRDefault="0047337E" w:rsidP="00B71792">
      <w:pPr>
        <w:widowControl w:val="0"/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SimSun" w:hAnsi="Tahoma" w:cs="Tahoma"/>
          <w:kern w:val="3"/>
          <w:sz w:val="19"/>
          <w:szCs w:val="19"/>
          <w:lang w:bidi="hi-IN"/>
        </w:rPr>
      </w:pPr>
    </w:p>
    <w:p w14:paraId="4F5C20A9" w14:textId="26CF4266" w:rsidR="00247669" w:rsidRPr="002503AF" w:rsidRDefault="00247669" w:rsidP="00247669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32" w:name="_Toc166575255"/>
      <w:r w:rsidRPr="002503AF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Políticas e práticas de governança corporativa</w:t>
      </w:r>
      <w:bookmarkEnd w:id="32"/>
    </w:p>
    <w:p w14:paraId="66BE6DC2" w14:textId="577D2CC2" w:rsidR="005C0707" w:rsidRPr="00FC4BDA" w:rsidRDefault="000C0D6A" w:rsidP="000C0D6A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Com</w:t>
      </w:r>
      <w:r w:rsidRPr="00FC4BDA">
        <w:rPr>
          <w:rFonts w:ascii="Tahoma" w:hAnsi="Tahoma" w:cs="Tahoma"/>
          <w:sz w:val="19"/>
          <w:szCs w:val="19"/>
        </w:rPr>
        <w:t xml:space="preserve"> foco na prevenção e na disseminação de regras e boas práticas</w:t>
      </w:r>
      <w:r>
        <w:rPr>
          <w:rFonts w:ascii="Tahoma" w:hAnsi="Tahoma" w:cs="Tahoma"/>
          <w:sz w:val="19"/>
          <w:szCs w:val="19"/>
        </w:rPr>
        <w:t xml:space="preserve"> e no fortalecimento de seus mecanismos de governança, a Finep busca manter</w:t>
      </w:r>
      <w:r w:rsidRPr="00FC4BDA">
        <w:rPr>
          <w:rFonts w:ascii="Tahoma" w:hAnsi="Tahoma" w:cs="Tahoma"/>
          <w:sz w:val="19"/>
          <w:szCs w:val="19"/>
        </w:rPr>
        <w:t xml:space="preserve"> um ambiente pautado na </w:t>
      </w:r>
      <w:r>
        <w:rPr>
          <w:rFonts w:ascii="Tahoma" w:hAnsi="Tahoma" w:cs="Tahoma"/>
          <w:sz w:val="19"/>
          <w:szCs w:val="19"/>
        </w:rPr>
        <w:t>é</w:t>
      </w:r>
      <w:r w:rsidRPr="00FC4BDA">
        <w:rPr>
          <w:rFonts w:ascii="Tahoma" w:hAnsi="Tahoma" w:cs="Tahoma"/>
          <w:sz w:val="19"/>
          <w:szCs w:val="19"/>
        </w:rPr>
        <w:t xml:space="preserve">tica e na </w:t>
      </w:r>
      <w:r>
        <w:rPr>
          <w:rFonts w:ascii="Tahoma" w:hAnsi="Tahoma" w:cs="Tahoma"/>
          <w:sz w:val="19"/>
          <w:szCs w:val="19"/>
        </w:rPr>
        <w:t>i</w:t>
      </w:r>
      <w:r w:rsidRPr="00FC4BDA">
        <w:rPr>
          <w:rFonts w:ascii="Tahoma" w:hAnsi="Tahoma" w:cs="Tahoma"/>
          <w:sz w:val="19"/>
          <w:szCs w:val="19"/>
        </w:rPr>
        <w:t>ntegridade como fundamentos básicos para a condução de todas as atividades.</w:t>
      </w:r>
      <w:r w:rsidR="002515F0">
        <w:rPr>
          <w:rFonts w:ascii="Tahoma" w:hAnsi="Tahoma" w:cs="Tahoma"/>
          <w:sz w:val="19"/>
          <w:szCs w:val="19"/>
        </w:rPr>
        <w:t xml:space="preserve"> Para isso foram estabelecidas </w:t>
      </w:r>
      <w:r w:rsidR="005C0707" w:rsidRPr="00FC4BDA">
        <w:rPr>
          <w:rFonts w:ascii="Tahoma" w:hAnsi="Tahoma" w:cs="Tahoma"/>
          <w:sz w:val="19"/>
          <w:szCs w:val="19"/>
        </w:rPr>
        <w:t>diretrizes</w:t>
      </w:r>
      <w:r w:rsidR="002515F0">
        <w:rPr>
          <w:rFonts w:ascii="Tahoma" w:hAnsi="Tahoma" w:cs="Tahoma"/>
          <w:sz w:val="19"/>
          <w:szCs w:val="19"/>
        </w:rPr>
        <w:t>, instâncias e</w:t>
      </w:r>
      <w:r w:rsidR="005C0707" w:rsidRPr="00FC4BDA">
        <w:rPr>
          <w:rFonts w:ascii="Tahoma" w:hAnsi="Tahoma" w:cs="Tahoma"/>
          <w:sz w:val="19"/>
          <w:szCs w:val="19"/>
        </w:rPr>
        <w:t xml:space="preserve"> estruturas organizacionais que funcionam de forma articulada</w:t>
      </w:r>
      <w:r>
        <w:rPr>
          <w:rFonts w:ascii="Tahoma" w:hAnsi="Tahoma" w:cs="Tahoma"/>
          <w:sz w:val="19"/>
          <w:szCs w:val="19"/>
        </w:rPr>
        <w:t>:</w:t>
      </w:r>
    </w:p>
    <w:p w14:paraId="06763178" w14:textId="61CD706D" w:rsidR="005C0707" w:rsidRPr="002515F0" w:rsidRDefault="005C0707" w:rsidP="00105DEB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2515F0">
        <w:rPr>
          <w:rFonts w:ascii="Tahoma" w:hAnsi="Tahoma" w:cs="Tahoma"/>
          <w:bCs/>
          <w:sz w:val="19"/>
          <w:szCs w:val="19"/>
        </w:rPr>
        <w:t>Código de Ética, Conduta e Integridade</w:t>
      </w:r>
      <w:r w:rsidR="002515F0" w:rsidRPr="002515F0">
        <w:rPr>
          <w:rFonts w:ascii="Tahoma" w:hAnsi="Tahoma" w:cs="Tahoma"/>
          <w:bCs/>
          <w:sz w:val="19"/>
          <w:szCs w:val="19"/>
        </w:rPr>
        <w:t xml:space="preserve"> (</w:t>
      </w:r>
      <w:hyperlink r:id="rId46" w:history="1">
        <w:r w:rsidR="002515F0" w:rsidRPr="002515F0">
          <w:rPr>
            <w:rStyle w:val="Hyperlink"/>
            <w:rFonts w:ascii="Tahoma" w:hAnsi="Tahoma" w:cs="Tahoma"/>
            <w:bCs/>
            <w:sz w:val="19"/>
            <w:szCs w:val="19"/>
          </w:rPr>
          <w:t>http://www.finep.gov.br/a-finep-externo/codigo-de-etica-e-de-conduta-da-finep</w:t>
        </w:r>
      </w:hyperlink>
      <w:r w:rsidR="002515F0" w:rsidRPr="002515F0">
        <w:rPr>
          <w:rFonts w:ascii="Tahoma" w:hAnsi="Tahoma" w:cs="Tahoma"/>
          <w:bCs/>
          <w:sz w:val="19"/>
          <w:szCs w:val="19"/>
        </w:rPr>
        <w:t>)</w:t>
      </w:r>
      <w:r w:rsidRPr="002515F0">
        <w:rPr>
          <w:rFonts w:ascii="Tahoma" w:hAnsi="Tahoma" w:cs="Tahoma"/>
          <w:bCs/>
          <w:sz w:val="19"/>
          <w:szCs w:val="19"/>
        </w:rPr>
        <w:t>;</w:t>
      </w:r>
    </w:p>
    <w:p w14:paraId="7F548043" w14:textId="3E6D7B6B" w:rsidR="005C0707" w:rsidRPr="002515F0" w:rsidRDefault="005C0707" w:rsidP="00105DEB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2515F0">
        <w:rPr>
          <w:rFonts w:ascii="Tahoma" w:hAnsi="Tahoma" w:cs="Tahoma"/>
          <w:bCs/>
          <w:sz w:val="19"/>
          <w:szCs w:val="19"/>
        </w:rPr>
        <w:t>Comissão de Ética</w:t>
      </w:r>
      <w:r w:rsidR="002515F0" w:rsidRPr="002515F0">
        <w:rPr>
          <w:rFonts w:ascii="Tahoma" w:hAnsi="Tahoma" w:cs="Tahoma"/>
          <w:bCs/>
          <w:sz w:val="19"/>
          <w:szCs w:val="19"/>
        </w:rPr>
        <w:t xml:space="preserve"> (</w:t>
      </w:r>
      <w:hyperlink r:id="rId47" w:history="1">
        <w:r w:rsidR="002515F0" w:rsidRPr="002515F0">
          <w:rPr>
            <w:rStyle w:val="Hyperlink"/>
            <w:rFonts w:ascii="Tahoma" w:hAnsi="Tahoma" w:cs="Tahoma"/>
            <w:bCs/>
            <w:sz w:val="19"/>
            <w:szCs w:val="19"/>
          </w:rPr>
          <w:t>http://www.finep.gov.br/a-finep-externo/comissao-de-etica/sobre-a-comissao-de-etica</w:t>
        </w:r>
      </w:hyperlink>
      <w:r w:rsidR="002515F0" w:rsidRPr="002515F0">
        <w:rPr>
          <w:rFonts w:ascii="Tahoma" w:hAnsi="Tahoma" w:cs="Tahoma"/>
          <w:bCs/>
          <w:sz w:val="19"/>
          <w:szCs w:val="19"/>
        </w:rPr>
        <w:t>)</w:t>
      </w:r>
      <w:r w:rsidRPr="002515F0">
        <w:rPr>
          <w:rFonts w:ascii="Tahoma" w:hAnsi="Tahoma" w:cs="Tahoma"/>
          <w:bCs/>
          <w:sz w:val="19"/>
          <w:szCs w:val="19"/>
        </w:rPr>
        <w:t>;</w:t>
      </w:r>
    </w:p>
    <w:p w14:paraId="67C988F7" w14:textId="1D76B61B" w:rsidR="005C0707" w:rsidRPr="002515F0" w:rsidRDefault="005C0707" w:rsidP="00105DEB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2515F0">
        <w:rPr>
          <w:rFonts w:ascii="Tahoma" w:hAnsi="Tahoma" w:cs="Tahoma"/>
          <w:bCs/>
          <w:sz w:val="19"/>
          <w:szCs w:val="19"/>
        </w:rPr>
        <w:t>Programa de Integridade</w:t>
      </w:r>
      <w:r w:rsidR="00871C53">
        <w:rPr>
          <w:rFonts w:ascii="Tahoma" w:hAnsi="Tahoma" w:cs="Tahoma"/>
          <w:bCs/>
          <w:sz w:val="19"/>
          <w:szCs w:val="19"/>
        </w:rPr>
        <w:t xml:space="preserve"> (ver Figura </w:t>
      </w:r>
      <w:r w:rsidR="00446FDB">
        <w:rPr>
          <w:rFonts w:ascii="Tahoma" w:hAnsi="Tahoma" w:cs="Tahoma"/>
          <w:bCs/>
          <w:sz w:val="19"/>
          <w:szCs w:val="19"/>
        </w:rPr>
        <w:t>5</w:t>
      </w:r>
      <w:r w:rsidR="00871C53">
        <w:rPr>
          <w:rFonts w:ascii="Tahoma" w:hAnsi="Tahoma" w:cs="Tahoma"/>
          <w:bCs/>
          <w:sz w:val="19"/>
          <w:szCs w:val="19"/>
        </w:rPr>
        <w:t>)</w:t>
      </w:r>
      <w:r w:rsidRPr="002515F0">
        <w:rPr>
          <w:rFonts w:ascii="Tahoma" w:hAnsi="Tahoma" w:cs="Tahoma"/>
          <w:bCs/>
          <w:sz w:val="19"/>
          <w:szCs w:val="19"/>
        </w:rPr>
        <w:t>;</w:t>
      </w:r>
      <w:r w:rsidRPr="002515F0">
        <w:rPr>
          <w:bCs/>
          <w:shd w:val="clear" w:color="auto" w:fill="E6E6E6"/>
        </w:rPr>
        <w:t xml:space="preserve"> </w:t>
      </w:r>
    </w:p>
    <w:p w14:paraId="39986B09" w14:textId="42B7ADB7" w:rsidR="005C0707" w:rsidRPr="002515F0" w:rsidRDefault="005C0707" w:rsidP="00105DEB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240" w:lineRule="auto"/>
        <w:ind w:left="714" w:hanging="357"/>
        <w:contextualSpacing w:val="0"/>
        <w:rPr>
          <w:rFonts w:ascii="Tahoma" w:hAnsi="Tahoma" w:cs="Tahoma"/>
          <w:bCs/>
          <w:sz w:val="19"/>
          <w:szCs w:val="19"/>
        </w:rPr>
      </w:pPr>
      <w:r w:rsidRPr="002515F0">
        <w:rPr>
          <w:rFonts w:ascii="Tahoma" w:hAnsi="Tahoma" w:cs="Tahoma"/>
          <w:bCs/>
          <w:sz w:val="19"/>
          <w:szCs w:val="19"/>
        </w:rPr>
        <w:t>Canal de Denúncias</w:t>
      </w:r>
      <w:r w:rsidR="002515F0" w:rsidRPr="002515F0">
        <w:rPr>
          <w:rFonts w:ascii="Tahoma" w:hAnsi="Tahoma" w:cs="Tahoma"/>
          <w:bCs/>
          <w:sz w:val="19"/>
          <w:szCs w:val="19"/>
        </w:rPr>
        <w:t xml:space="preserve"> (</w:t>
      </w:r>
      <w:hyperlink r:id="rId48" w:history="1">
        <w:r w:rsidR="002515F0" w:rsidRPr="002515F0">
          <w:rPr>
            <w:rStyle w:val="Hyperlink"/>
            <w:rFonts w:ascii="Tahoma" w:hAnsi="Tahoma" w:cs="Tahoma"/>
            <w:bCs/>
            <w:sz w:val="19"/>
            <w:szCs w:val="19"/>
          </w:rPr>
          <w:t>http://www.finep.gov.br/a-finep-externo/programa-de-integridade/canal-de-denuncias</w:t>
        </w:r>
      </w:hyperlink>
      <w:r w:rsidR="002515F0" w:rsidRPr="002515F0">
        <w:rPr>
          <w:rFonts w:ascii="Tahoma" w:hAnsi="Tahoma" w:cs="Tahoma"/>
          <w:bCs/>
          <w:sz w:val="19"/>
          <w:szCs w:val="19"/>
        </w:rPr>
        <w:t>)</w:t>
      </w:r>
      <w:r w:rsidRPr="002515F0">
        <w:rPr>
          <w:rFonts w:ascii="Tahoma" w:hAnsi="Tahoma" w:cs="Tahoma"/>
          <w:bCs/>
          <w:sz w:val="19"/>
          <w:szCs w:val="19"/>
        </w:rPr>
        <w:t>; e</w:t>
      </w:r>
    </w:p>
    <w:p w14:paraId="274F030D" w14:textId="23E3B335" w:rsidR="005C0707" w:rsidRPr="002515F0" w:rsidRDefault="005C0707" w:rsidP="00105DEB">
      <w:pPr>
        <w:pStyle w:val="PargrafodaLista"/>
        <w:numPr>
          <w:ilvl w:val="0"/>
          <w:numId w:val="15"/>
        </w:numPr>
        <w:suppressAutoHyphens/>
        <w:autoSpaceDN w:val="0"/>
        <w:spacing w:before="120" w:after="120" w:line="360" w:lineRule="auto"/>
        <w:contextualSpacing w:val="0"/>
        <w:rPr>
          <w:rFonts w:ascii="Tahoma" w:hAnsi="Tahoma" w:cs="Tahoma"/>
          <w:bCs/>
          <w:sz w:val="19"/>
          <w:szCs w:val="19"/>
        </w:rPr>
      </w:pPr>
      <w:r w:rsidRPr="002515F0">
        <w:rPr>
          <w:rFonts w:ascii="Tahoma" w:hAnsi="Tahoma" w:cs="Tahoma"/>
          <w:bCs/>
          <w:sz w:val="19"/>
          <w:szCs w:val="19"/>
        </w:rPr>
        <w:t>Unidade de Correição</w:t>
      </w:r>
      <w:r w:rsidR="002515F0" w:rsidRPr="002515F0">
        <w:rPr>
          <w:rFonts w:ascii="Tahoma" w:hAnsi="Tahoma" w:cs="Tahoma"/>
          <w:bCs/>
          <w:sz w:val="19"/>
          <w:szCs w:val="19"/>
        </w:rPr>
        <w:t xml:space="preserve"> (</w:t>
      </w:r>
      <w:hyperlink r:id="rId49" w:history="1">
        <w:r w:rsidR="002515F0" w:rsidRPr="002515F0">
          <w:rPr>
            <w:rStyle w:val="Hyperlink"/>
            <w:rFonts w:ascii="Tahoma" w:hAnsi="Tahoma" w:cs="Tahoma"/>
            <w:bCs/>
            <w:sz w:val="19"/>
            <w:szCs w:val="19"/>
          </w:rPr>
          <w:t>http://www.finep.gov.br/acoes-correicao</w:t>
        </w:r>
      </w:hyperlink>
      <w:r w:rsidR="002515F0" w:rsidRPr="002515F0">
        <w:rPr>
          <w:rFonts w:ascii="Tahoma" w:hAnsi="Tahoma" w:cs="Tahoma"/>
          <w:bCs/>
          <w:sz w:val="19"/>
          <w:szCs w:val="19"/>
        </w:rPr>
        <w:t>)</w:t>
      </w:r>
      <w:r w:rsidRPr="002515F0">
        <w:rPr>
          <w:rFonts w:ascii="Tahoma" w:hAnsi="Tahoma" w:cs="Tahoma"/>
          <w:bCs/>
          <w:sz w:val="19"/>
          <w:szCs w:val="19"/>
        </w:rPr>
        <w:t>.</w:t>
      </w:r>
    </w:p>
    <w:p w14:paraId="0CE34CD7" w14:textId="04D95D6C" w:rsidR="005C0707" w:rsidRPr="00FC4BDA" w:rsidRDefault="005C0707" w:rsidP="000C0D6A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FC4BDA">
        <w:rPr>
          <w:rFonts w:ascii="Tahoma" w:hAnsi="Tahoma" w:cs="Tahoma"/>
          <w:sz w:val="19"/>
          <w:szCs w:val="19"/>
        </w:rPr>
        <w:lastRenderedPageBreak/>
        <w:t>Nesse ambiente, ter um Código de Ética, Conduta e Integridade aderente às características da empresa é essencial, por isso uma das diretrizes do próprio Código é a previsão de sua atualização periódica.</w:t>
      </w:r>
    </w:p>
    <w:p w14:paraId="07077D65" w14:textId="34F8C4FA" w:rsidR="005C0707" w:rsidRPr="00FC4BDA" w:rsidRDefault="005C0707" w:rsidP="000C0D6A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  <w:r w:rsidRPr="00FC4BDA">
        <w:rPr>
          <w:rFonts w:ascii="Tahoma" w:hAnsi="Tahoma" w:cs="Tahoma"/>
          <w:sz w:val="19"/>
          <w:szCs w:val="19"/>
        </w:rPr>
        <w:t xml:space="preserve">Assim, </w:t>
      </w:r>
      <w:r w:rsidR="00A4411C">
        <w:rPr>
          <w:rFonts w:ascii="Tahoma" w:hAnsi="Tahoma" w:cs="Tahoma"/>
          <w:sz w:val="19"/>
          <w:szCs w:val="19"/>
        </w:rPr>
        <w:t xml:space="preserve">a Finep </w:t>
      </w:r>
      <w:r w:rsidRPr="00FC4BDA">
        <w:rPr>
          <w:rFonts w:ascii="Tahoma" w:hAnsi="Tahoma" w:cs="Tahoma"/>
          <w:sz w:val="19"/>
          <w:szCs w:val="19"/>
        </w:rPr>
        <w:t>garant</w:t>
      </w:r>
      <w:r w:rsidR="00A4411C">
        <w:rPr>
          <w:rFonts w:ascii="Tahoma" w:hAnsi="Tahoma" w:cs="Tahoma"/>
          <w:sz w:val="19"/>
          <w:szCs w:val="19"/>
        </w:rPr>
        <w:t>e</w:t>
      </w:r>
      <w:r w:rsidRPr="00FC4BDA">
        <w:rPr>
          <w:rFonts w:ascii="Tahoma" w:hAnsi="Tahoma" w:cs="Tahoma"/>
          <w:sz w:val="19"/>
          <w:szCs w:val="19"/>
        </w:rPr>
        <w:t xml:space="preserve"> o funcionamento de um sistema que prioriza a disseminação da temática para fortalecimento da cultura organizacional, e abr</w:t>
      </w:r>
      <w:r w:rsidR="00A4411C">
        <w:rPr>
          <w:rFonts w:ascii="Tahoma" w:hAnsi="Tahoma" w:cs="Tahoma"/>
          <w:sz w:val="19"/>
          <w:szCs w:val="19"/>
        </w:rPr>
        <w:t>e</w:t>
      </w:r>
      <w:r w:rsidRPr="00FC4BDA">
        <w:rPr>
          <w:rFonts w:ascii="Tahoma" w:hAnsi="Tahoma" w:cs="Tahoma"/>
          <w:sz w:val="19"/>
          <w:szCs w:val="19"/>
        </w:rPr>
        <w:t xml:space="preserve"> espaço para que a sociedade apresente suas manifestações, por meio do Canal de Denúncias. Este canal possibilita ainda a condução de apurações, pautadas na existência de requisitos específicos, tais como materialidade e relevância.</w:t>
      </w:r>
    </w:p>
    <w:p w14:paraId="0BCE377C" w14:textId="77777777" w:rsidR="00873CA9" w:rsidRPr="00873CA9" w:rsidRDefault="00873CA9" w:rsidP="00871C53">
      <w:pPr>
        <w:suppressAutoHyphens/>
        <w:autoSpaceDN w:val="0"/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</w:p>
    <w:p w14:paraId="6CD85AAB" w14:textId="7F75B008" w:rsidR="005C0707" w:rsidRPr="00A4411C" w:rsidRDefault="00A4411C" w:rsidP="000C0D6A">
      <w:pPr>
        <w:spacing w:before="120" w:after="120" w:line="360" w:lineRule="auto"/>
        <w:jc w:val="both"/>
        <w:rPr>
          <w:rFonts w:ascii="Tahoma" w:hAnsi="Tahoma" w:cs="Tahoma"/>
          <w:i/>
          <w:iCs/>
          <w:sz w:val="19"/>
          <w:szCs w:val="19"/>
        </w:rPr>
      </w:pPr>
      <w:r w:rsidRPr="00A4411C">
        <w:rPr>
          <w:rFonts w:ascii="Tahoma" w:hAnsi="Tahoma" w:cs="Tahoma"/>
          <w:i/>
          <w:iCs/>
          <w:sz w:val="19"/>
          <w:szCs w:val="19"/>
        </w:rPr>
        <w:t xml:space="preserve">Figura </w:t>
      </w:r>
      <w:r w:rsidR="00446FDB">
        <w:rPr>
          <w:rFonts w:ascii="Tahoma" w:hAnsi="Tahoma" w:cs="Tahoma"/>
          <w:i/>
          <w:iCs/>
          <w:sz w:val="19"/>
          <w:szCs w:val="19"/>
        </w:rPr>
        <w:t>5</w:t>
      </w:r>
      <w:r w:rsidRPr="00A4411C">
        <w:rPr>
          <w:rFonts w:ascii="Tahoma" w:hAnsi="Tahoma" w:cs="Tahoma"/>
          <w:i/>
          <w:iCs/>
          <w:sz w:val="19"/>
          <w:szCs w:val="19"/>
        </w:rPr>
        <w:t xml:space="preserve"> - </w:t>
      </w:r>
      <w:r w:rsidR="005C0707" w:rsidRPr="00A4411C">
        <w:rPr>
          <w:rFonts w:ascii="Tahoma" w:hAnsi="Tahoma" w:cs="Tahoma"/>
          <w:i/>
          <w:iCs/>
          <w:sz w:val="19"/>
          <w:szCs w:val="19"/>
        </w:rPr>
        <w:t>Dimensões do Programa de Integridade da Finep</w:t>
      </w:r>
    </w:p>
    <w:p w14:paraId="6F8B51A0" w14:textId="4F54676C" w:rsidR="00871C53" w:rsidRDefault="00871C53" w:rsidP="00F02907">
      <w:pPr>
        <w:spacing w:before="120" w:after="0" w:line="240" w:lineRule="auto"/>
        <w:jc w:val="both"/>
        <w:rPr>
          <w:rFonts w:ascii="Tahoma" w:hAnsi="Tahoma" w:cs="Tahoma"/>
          <w:sz w:val="19"/>
          <w:szCs w:val="19"/>
        </w:rPr>
      </w:pPr>
      <w:r>
        <w:rPr>
          <w:noProof/>
        </w:rPr>
        <w:drawing>
          <wp:inline distT="0" distB="0" distL="0" distR="0" wp14:anchorId="02CEDE8B" wp14:editId="7CF802B4">
            <wp:extent cx="5074133" cy="2728623"/>
            <wp:effectExtent l="0" t="0" r="0" b="0"/>
            <wp:docPr id="1157144798" name="Imagem 1" descr="Integr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gridad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76" cy="2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B07C" w14:textId="7B18DC83" w:rsidR="00B825D9" w:rsidRDefault="00A4411C" w:rsidP="00F02907">
      <w:pPr>
        <w:spacing w:before="120" w:after="0" w:line="240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Fonte: Programa de Integridade da Finep, </w:t>
      </w:r>
    </w:p>
    <w:p w14:paraId="16026743" w14:textId="05273624" w:rsidR="00A4411C" w:rsidRDefault="00A4411C" w:rsidP="00F02907">
      <w:pPr>
        <w:spacing w:after="12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em </w:t>
      </w:r>
      <w:hyperlink r:id="rId51" w:history="1">
        <w:r w:rsidRPr="00BB2ECD">
          <w:rPr>
            <w:rStyle w:val="Hyperlink"/>
            <w:rFonts w:ascii="Tahoma" w:hAnsi="Tahoma" w:cs="Tahoma"/>
            <w:sz w:val="19"/>
            <w:szCs w:val="19"/>
          </w:rPr>
          <w:t>http://www.finep.gov.br/a-finep-externo/programa-de-integridade/o-programa-de-integridade</w:t>
        </w:r>
      </w:hyperlink>
      <w:r>
        <w:rPr>
          <w:rFonts w:ascii="Tahoma" w:hAnsi="Tahoma" w:cs="Tahoma"/>
          <w:sz w:val="19"/>
          <w:szCs w:val="19"/>
        </w:rPr>
        <w:t>.</w:t>
      </w:r>
    </w:p>
    <w:p w14:paraId="19F13EE0" w14:textId="77777777" w:rsidR="00A4411C" w:rsidRPr="00FC4BDA" w:rsidRDefault="00A4411C" w:rsidP="000C0D6A">
      <w:pPr>
        <w:spacing w:before="120" w:after="120" w:line="360" w:lineRule="auto"/>
        <w:jc w:val="both"/>
        <w:rPr>
          <w:rFonts w:ascii="Tahoma" w:hAnsi="Tahoma" w:cs="Tahoma"/>
          <w:sz w:val="19"/>
          <w:szCs w:val="19"/>
        </w:rPr>
      </w:pPr>
    </w:p>
    <w:p w14:paraId="1DD388D1" w14:textId="6C598671" w:rsidR="00352C83" w:rsidRPr="002503AF" w:rsidRDefault="0058349F" w:rsidP="00B71792">
      <w:pPr>
        <w:pStyle w:val="PargrafodaLista"/>
        <w:keepNext/>
        <w:keepLines/>
        <w:numPr>
          <w:ilvl w:val="1"/>
          <w:numId w:val="6"/>
        </w:numPr>
        <w:suppressAutoHyphens/>
        <w:spacing w:before="120" w:after="120" w:line="360" w:lineRule="auto"/>
        <w:outlineLvl w:val="0"/>
        <w:rPr>
          <w:rFonts w:ascii="Tahoma" w:eastAsia="Times New Roman" w:hAnsi="Tahoma" w:cs="Tahoma"/>
          <w:color w:val="DD4F0B"/>
          <w:sz w:val="24"/>
          <w:szCs w:val="24"/>
          <w:lang w:eastAsia="pt-BR"/>
        </w:rPr>
      </w:pPr>
      <w:bookmarkStart w:id="33" w:name="_Toc49448292"/>
      <w:bookmarkStart w:id="34" w:name="_Toc71730112"/>
      <w:bookmarkStart w:id="35" w:name="_Toc166575256"/>
      <w:r w:rsidRPr="002503AF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 xml:space="preserve">Descrição da composição </w:t>
      </w:r>
      <w:r w:rsidR="00352C83" w:rsidRPr="002503AF">
        <w:rPr>
          <w:rFonts w:ascii="Tahoma" w:eastAsia="Times New Roman" w:hAnsi="Tahoma" w:cs="Tahoma"/>
          <w:color w:val="DD4F0B"/>
          <w:sz w:val="24"/>
          <w:szCs w:val="24"/>
          <w:lang w:eastAsia="pt-BR"/>
        </w:rPr>
        <w:t>da remuneração da administração e do Conselho Fiscal</w:t>
      </w:r>
      <w:bookmarkEnd w:id="33"/>
      <w:bookmarkEnd w:id="34"/>
      <w:bookmarkEnd w:id="35"/>
    </w:p>
    <w:p w14:paraId="030B0FE7" w14:textId="53725881" w:rsidR="00967503" w:rsidRPr="00B71792" w:rsidRDefault="00967503" w:rsidP="00B71792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B71792">
        <w:rPr>
          <w:rFonts w:ascii="Tahoma" w:eastAsia="Calibri" w:hAnsi="Tahoma" w:cs="Tahoma"/>
          <w:sz w:val="19"/>
          <w:szCs w:val="19"/>
        </w:rPr>
        <w:t xml:space="preserve">A remuneração dos administradores da Finep e de seus empregados é fixada conforme Plano de Cargos da Empresa, no caso dos empregados, e conforme Proposta Anual, no caso dos Dirigentes. Desde 2014, a Finep adota Programa de Participação nos Lucros ou Resultados - PLR para seus </w:t>
      </w:r>
      <w:r w:rsidR="00B71792">
        <w:rPr>
          <w:rFonts w:ascii="Tahoma" w:eastAsia="Calibri" w:hAnsi="Tahoma" w:cs="Tahoma"/>
          <w:sz w:val="19"/>
          <w:szCs w:val="19"/>
        </w:rPr>
        <w:t>e</w:t>
      </w:r>
      <w:r w:rsidRPr="00B71792">
        <w:rPr>
          <w:rFonts w:ascii="Tahoma" w:eastAsia="Calibri" w:hAnsi="Tahoma" w:cs="Tahoma"/>
          <w:sz w:val="19"/>
          <w:szCs w:val="19"/>
        </w:rPr>
        <w:t xml:space="preserve">mpregados e um Programa de Remuneração Variável Anual - RVA para seus </w:t>
      </w:r>
      <w:r w:rsidR="00B71792">
        <w:rPr>
          <w:rFonts w:ascii="Tahoma" w:eastAsia="Calibri" w:hAnsi="Tahoma" w:cs="Tahoma"/>
          <w:sz w:val="19"/>
          <w:szCs w:val="19"/>
        </w:rPr>
        <w:t>d</w:t>
      </w:r>
      <w:r w:rsidRPr="00B71792">
        <w:rPr>
          <w:rFonts w:ascii="Tahoma" w:eastAsia="Calibri" w:hAnsi="Tahoma" w:cs="Tahoma"/>
          <w:sz w:val="19"/>
          <w:szCs w:val="19"/>
        </w:rPr>
        <w:t>irigentes, ambos anualmente submetidos à aprovação da Diretoria Executiva, do Conselho de Administração, do MCTI e da Secretaria de Coordenação e Governança das Empresas Estatais (Sest). Ressalta-se que os pagamentos da PLR, bem como os da RVA, estão atrelados aos resultados da empresa e ao atingimento de metas.</w:t>
      </w:r>
    </w:p>
    <w:p w14:paraId="5A6DC7B0" w14:textId="77777777" w:rsidR="00967503" w:rsidRPr="00B71792" w:rsidRDefault="00967503" w:rsidP="00B71792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B71792">
        <w:rPr>
          <w:rFonts w:ascii="Tahoma" w:eastAsia="Calibri" w:hAnsi="Tahoma" w:cs="Tahoma"/>
          <w:sz w:val="19"/>
          <w:szCs w:val="19"/>
        </w:rPr>
        <w:t>Na Finep, o efetivo pagamento de cada parcela da Remuneração Variável Anual em 2024 está condicionado a:</w:t>
      </w:r>
    </w:p>
    <w:p w14:paraId="4092A2AD" w14:textId="474E4329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>Distribuição dos dividendos obrigatórios do exercício de 2023 e dos dividendos obrigatórios dos exercícios em que estejam previstos pagamento das parcelas diferidas;</w:t>
      </w:r>
    </w:p>
    <w:p w14:paraId="54779B5E" w14:textId="1B18C243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 xml:space="preserve">Existência de resultado líquido positivo das atividades operacionais e não operacionais da FINEP, apurados na demonstração de resultado referente ao exercício de 2023 e nas demonstrações de resultados dos exercícios em que estejam previstos pagamento das parcelas diferidas, dos quais deverão ser excluídos os resultados </w:t>
      </w:r>
      <w:r w:rsidRPr="0012095B">
        <w:rPr>
          <w:rFonts w:ascii="Tahoma" w:eastAsia="Calibri" w:hAnsi="Tahoma" w:cs="Tahoma"/>
          <w:sz w:val="19"/>
          <w:szCs w:val="19"/>
        </w:rPr>
        <w:lastRenderedPageBreak/>
        <w:t>advindos de rendimentos auferidos em função de spread bancário, que não refletem o esforço finalístico da Finep, em consonância com a Lei nº 6.404, de 15 de dezembro de 1976, art. 152, e com o Acórdão 528/2019 - TCU - 2ª Câmara;</w:t>
      </w:r>
    </w:p>
    <w:p w14:paraId="0B903ACC" w14:textId="3239529E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>Efetiva distribuição, aos empregados, de Participação nos Lucros ou Resultados do exercício de 2023 e dos exercícios em que estejam previstos pagamento das parcelas diferidas;</w:t>
      </w:r>
    </w:p>
    <w:p w14:paraId="372C48D3" w14:textId="729EFD01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>Cumprimento integral da Portaria nº 452/2013 do Ministério da Ciência, Tecnologia e Inovação, que estabelece limites operacionais para a FINEP, publicada no Diário Oficial da União em 23/05/2013, e/ou suas atualizações;</w:t>
      </w:r>
    </w:p>
    <w:p w14:paraId="38F2A0A4" w14:textId="18182F6C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>O valor integral da Remuneração Variável Anual do exercício deve corresponder a no máximo 0,75% da Geração de Caixa Operacional e Não Operacional do exercício;</w:t>
      </w:r>
    </w:p>
    <w:p w14:paraId="4F099330" w14:textId="06757240" w:rsidR="00967503" w:rsidRPr="0012095B" w:rsidRDefault="00967503" w:rsidP="0012095B">
      <w:pPr>
        <w:pStyle w:val="PargrafodaLista"/>
        <w:numPr>
          <w:ilvl w:val="0"/>
          <w:numId w:val="26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12095B">
        <w:rPr>
          <w:rFonts w:ascii="Tahoma" w:eastAsia="Calibri" w:hAnsi="Tahoma" w:cs="Tahoma"/>
          <w:sz w:val="19"/>
          <w:szCs w:val="19"/>
        </w:rPr>
        <w:t>Autorização da Assembleia Geral de Acionistas.</w:t>
      </w:r>
    </w:p>
    <w:p w14:paraId="3D606996" w14:textId="77777777" w:rsidR="00967503" w:rsidRPr="00B71792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B71792">
        <w:rPr>
          <w:rFonts w:ascii="Tahoma" w:eastAsia="Calibri" w:hAnsi="Tahoma" w:cs="Tahoma"/>
          <w:sz w:val="19"/>
          <w:szCs w:val="19"/>
        </w:rPr>
        <w:t>O pagamento da Remuneração Variável Anual fica ainda limitado a 10% do lucro líquido do exercício ou à remuneração anual dos Administradores, o que for menor, conforme determina o artigo 152 da Lei nº 6.404/76.</w:t>
      </w:r>
    </w:p>
    <w:p w14:paraId="36BF6E78" w14:textId="77777777" w:rsidR="00967503" w:rsidRPr="00B71792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B71792">
        <w:rPr>
          <w:rFonts w:ascii="Tahoma" w:eastAsia="Calibri" w:hAnsi="Tahoma" w:cs="Tahoma"/>
          <w:sz w:val="19"/>
          <w:szCs w:val="19"/>
        </w:rPr>
        <w:t>É vedado o pagamento da Remuneração Variável Anual em caso de utilização de recursos financeiros transferidos pela União a título de adiantamento para futuro aumento de capital (AFAC) para pagamento de despesas de pessoal ou de custeio em geral.</w:t>
      </w:r>
    </w:p>
    <w:p w14:paraId="68FDB64D" w14:textId="627E5999" w:rsidR="00967503" w:rsidRPr="00B71792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B71792">
        <w:rPr>
          <w:rFonts w:ascii="Tahoma" w:eastAsia="Calibri" w:hAnsi="Tahoma" w:cs="Tahoma"/>
          <w:sz w:val="19"/>
          <w:szCs w:val="19"/>
        </w:rPr>
        <w:t xml:space="preserve">O </w:t>
      </w:r>
      <w:r w:rsidR="008357C4">
        <w:rPr>
          <w:rFonts w:ascii="Tahoma" w:eastAsia="Calibri" w:hAnsi="Tahoma" w:cs="Tahoma"/>
          <w:sz w:val="19"/>
          <w:szCs w:val="19"/>
        </w:rPr>
        <w:t>Q</w:t>
      </w:r>
      <w:r w:rsidRPr="00B71792">
        <w:rPr>
          <w:rFonts w:ascii="Tahoma" w:eastAsia="Calibri" w:hAnsi="Tahoma" w:cs="Tahoma"/>
          <w:sz w:val="19"/>
          <w:szCs w:val="19"/>
        </w:rPr>
        <w:t>uadro 6 mostra a régua de apuração, com o não pagamento para meta com cumprimento inferior a 80% e concedendo bônus máximo quando o cumprimento da meta for igual ou superior a 120%. Essa régua não inclui o Indicador de Conformidade Sest, que possui tabulação própria.</w:t>
      </w:r>
    </w:p>
    <w:p w14:paraId="3493CF43" w14:textId="77777777" w:rsidR="00967503" w:rsidRPr="007C18AB" w:rsidRDefault="00967503" w:rsidP="0012095B">
      <w:pPr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Calibri" w:hAnsi="Tahoma" w:cs="Tahoma"/>
          <w:i/>
          <w:iCs/>
          <w:sz w:val="19"/>
          <w:szCs w:val="19"/>
        </w:rPr>
      </w:pPr>
      <w:r w:rsidRPr="007C18AB">
        <w:rPr>
          <w:rFonts w:ascii="Tahoma" w:eastAsia="Calibri" w:hAnsi="Tahoma" w:cs="Tahoma"/>
          <w:i/>
          <w:iCs/>
          <w:sz w:val="19"/>
          <w:szCs w:val="19"/>
        </w:rPr>
        <w:t>Quadro 6 – Gradação para enquadramento dos indicadores (exceto Indicador de Conformidade Sest)</w:t>
      </w:r>
    </w:p>
    <w:tbl>
      <w:tblPr>
        <w:tblW w:w="10091" w:type="dxa"/>
        <w:tblBorders>
          <w:top w:val="single" w:sz="6" w:space="0" w:color="BFBFBF"/>
          <w:left w:val="single" w:sz="6" w:space="0" w:color="BFBFBF"/>
          <w:bottom w:val="single" w:sz="6" w:space="0" w:color="000000"/>
          <w:right w:val="single" w:sz="6" w:space="0" w:color="BFBFBF"/>
          <w:insideH w:val="single" w:sz="6" w:space="0" w:color="BFBFBF"/>
          <w:insideV w:val="single" w:sz="6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1"/>
        <w:gridCol w:w="3855"/>
        <w:gridCol w:w="2715"/>
      </w:tblGrid>
      <w:tr w:rsidR="00967503" w:rsidRPr="007C18AB" w14:paraId="6D8F3A3E" w14:textId="77777777" w:rsidTr="00A4510A">
        <w:trPr>
          <w:trHeight w:val="340"/>
          <w:tblHeader/>
        </w:trPr>
        <w:tc>
          <w:tcPr>
            <w:tcW w:w="0" w:type="auto"/>
            <w:shd w:val="clear" w:color="auto" w:fill="00505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31B27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Cumprimento de cada meta</w:t>
            </w:r>
          </w:p>
        </w:tc>
        <w:tc>
          <w:tcPr>
            <w:tcW w:w="0" w:type="auto"/>
            <w:shd w:val="clear" w:color="auto" w:fill="00505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56A88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Situação</w:t>
            </w:r>
          </w:p>
        </w:tc>
        <w:tc>
          <w:tcPr>
            <w:tcW w:w="0" w:type="auto"/>
            <w:shd w:val="clear" w:color="auto" w:fill="005051"/>
            <w:vAlign w:val="center"/>
          </w:tcPr>
          <w:p w14:paraId="17C4A233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Pagamento respectivo</w:t>
            </w:r>
          </w:p>
        </w:tc>
      </w:tr>
      <w:tr w:rsidR="00967503" w:rsidRPr="007C18AB" w14:paraId="6117131A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BA53D0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&gt;120%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2E0CA2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Extrapolação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A773EE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150%</w:t>
            </w:r>
          </w:p>
        </w:tc>
      </w:tr>
      <w:tr w:rsidR="00967503" w:rsidRPr="007C18AB" w14:paraId="208DCCD1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44BBA3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≤120% e &gt;110%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DF4B55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159E407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120%</w:t>
            </w:r>
          </w:p>
        </w:tc>
      </w:tr>
      <w:tr w:rsidR="00967503" w:rsidRPr="007C18AB" w14:paraId="49222BC2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F73388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≤110% e &gt;105%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80DECA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2EFEB4A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110%</w:t>
            </w:r>
          </w:p>
        </w:tc>
      </w:tr>
      <w:tr w:rsidR="00967503" w:rsidRPr="007C18AB" w14:paraId="1FE7FF0D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F57BF5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≤105% e &gt;104%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A1459C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Margem de tolerância superior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F8692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105%</w:t>
            </w:r>
          </w:p>
        </w:tc>
      </w:tr>
      <w:tr w:rsidR="00967503" w:rsidRPr="007C18AB" w14:paraId="69E7903B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305A6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≤104% e &gt;103%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0A1D75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318CFC6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104%</w:t>
            </w:r>
          </w:p>
        </w:tc>
      </w:tr>
      <w:tr w:rsidR="00967503" w:rsidRPr="007C18AB" w14:paraId="01862436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3951534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≤103% e &gt;102%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5B60B4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199BA21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103%</w:t>
            </w:r>
          </w:p>
        </w:tc>
      </w:tr>
      <w:tr w:rsidR="00967503" w:rsidRPr="007C18AB" w14:paraId="25E647F1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27E325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≤102% e &gt;101%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41B1E9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652E9F6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102%</w:t>
            </w:r>
          </w:p>
        </w:tc>
      </w:tr>
      <w:tr w:rsidR="00967503" w:rsidRPr="007C18AB" w14:paraId="1A517FC2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62A1F3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≤101% e &gt;100%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EB9FF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265E6BD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101%</w:t>
            </w:r>
          </w:p>
        </w:tc>
      </w:tr>
      <w:tr w:rsidR="00967503" w:rsidRPr="007C18AB" w14:paraId="00F47C58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9EF791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= 100%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8C4819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Cumprimento integral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B6B96D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100%</w:t>
            </w:r>
          </w:p>
        </w:tc>
      </w:tr>
      <w:tr w:rsidR="00967503" w:rsidRPr="007C18AB" w14:paraId="4667890F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2E51B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&lt;100%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99%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2C0BF0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Margem de tolerância superior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D2ADE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99%</w:t>
            </w:r>
          </w:p>
        </w:tc>
      </w:tr>
      <w:tr w:rsidR="00967503" w:rsidRPr="007C18AB" w14:paraId="5B991542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01D932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&lt;99%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98%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F6175A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DEA9668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98%</w:t>
            </w:r>
          </w:p>
        </w:tc>
      </w:tr>
      <w:tr w:rsidR="00967503" w:rsidRPr="007C18AB" w14:paraId="0D8650C9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15A06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&lt;98%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97%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751D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88CD2F8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97%</w:t>
            </w:r>
          </w:p>
        </w:tc>
      </w:tr>
      <w:tr w:rsidR="00967503" w:rsidRPr="007C18AB" w14:paraId="4D97EFB6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5D694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&lt;97%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96%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95E85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400610C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96%</w:t>
            </w:r>
          </w:p>
        </w:tc>
      </w:tr>
      <w:tr w:rsidR="00967503" w:rsidRPr="007C18AB" w14:paraId="37236F5D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D3F7C0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&lt;96%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95%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D46A66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E02A93E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95%</w:t>
            </w:r>
          </w:p>
        </w:tc>
      </w:tr>
      <w:tr w:rsidR="00967503" w:rsidRPr="007C18AB" w14:paraId="06B7F196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41355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&lt;95%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90%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1687D6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Cumprimento parcial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65DC0E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75%</w:t>
            </w:r>
          </w:p>
        </w:tc>
      </w:tr>
      <w:tr w:rsidR="00967503" w:rsidRPr="007C18AB" w14:paraId="15B42412" w14:textId="77777777" w:rsidTr="001B5F12">
        <w:trPr>
          <w:trHeight w:val="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BBB91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&lt;90% e </w:t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sym w:font="Symbol" w:char="F0B3"/>
            </w:r>
            <w:r w:rsidRPr="007C18AB">
              <w:rPr>
                <w:rFonts w:ascii="Tahoma" w:eastAsia="Calibri" w:hAnsi="Tahoma" w:cs="Tahoma"/>
                <w:sz w:val="18"/>
                <w:szCs w:val="18"/>
              </w:rPr>
              <w:t>80%</w:t>
            </w: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178CBC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C7EC0B8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50%</w:t>
            </w:r>
          </w:p>
        </w:tc>
      </w:tr>
      <w:tr w:rsidR="00967503" w:rsidRPr="007C18AB" w14:paraId="31867323" w14:textId="77777777" w:rsidTr="001B5F12">
        <w:trPr>
          <w:trHeight w:val="20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8761F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&lt;80%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843DA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Descumprimento</w:t>
            </w:r>
          </w:p>
        </w:tc>
        <w:tc>
          <w:tcPr>
            <w:tcW w:w="0" w:type="auto"/>
            <w:vAlign w:val="center"/>
          </w:tcPr>
          <w:p w14:paraId="128FCBB4" w14:textId="77777777" w:rsidR="00967503" w:rsidRPr="007C18AB" w:rsidRDefault="00967503" w:rsidP="001B5F1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-</w:t>
            </w:r>
          </w:p>
        </w:tc>
      </w:tr>
    </w:tbl>
    <w:p w14:paraId="0DFBC8C7" w14:textId="77777777" w:rsidR="00967503" w:rsidRPr="0012095B" w:rsidRDefault="00967503" w:rsidP="0012095B">
      <w:pPr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Calibri" w:hAnsi="Tahoma" w:cs="Tahoma"/>
          <w:sz w:val="18"/>
          <w:szCs w:val="18"/>
        </w:rPr>
      </w:pPr>
      <w:r w:rsidRPr="0012095B">
        <w:rPr>
          <w:rFonts w:ascii="Tahoma" w:eastAsia="Calibri" w:hAnsi="Tahoma" w:cs="Tahoma"/>
          <w:sz w:val="18"/>
          <w:szCs w:val="18"/>
        </w:rPr>
        <w:t>Fonte: Área de Gestão de Pessoas (AGEP/Finep)</w:t>
      </w:r>
    </w:p>
    <w:p w14:paraId="0F524393" w14:textId="4BD9BE09" w:rsidR="00967503" w:rsidRPr="007C18AB" w:rsidRDefault="00967503" w:rsidP="00967503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7C18AB">
        <w:rPr>
          <w:rFonts w:ascii="Tahoma" w:eastAsia="Calibri" w:hAnsi="Tahoma" w:cs="Tahoma"/>
          <w:sz w:val="19"/>
          <w:szCs w:val="19"/>
        </w:rPr>
        <w:lastRenderedPageBreak/>
        <w:t>De forma a reforçar a relação entre a política pública executada e a remuneração variável dos dirigentes, é importante destacar o resultado alcançado nos indicadores da dimensão de políticas públicas do Programa de RVA 202</w:t>
      </w:r>
      <w:r>
        <w:rPr>
          <w:rFonts w:ascii="Tahoma" w:eastAsia="Calibri" w:hAnsi="Tahoma" w:cs="Tahoma"/>
          <w:sz w:val="19"/>
          <w:szCs w:val="19"/>
        </w:rPr>
        <w:t>3</w:t>
      </w:r>
      <w:r w:rsidRPr="007C18AB">
        <w:rPr>
          <w:rFonts w:ascii="Tahoma" w:eastAsia="Calibri" w:hAnsi="Tahoma" w:cs="Tahoma"/>
          <w:sz w:val="19"/>
          <w:szCs w:val="19"/>
        </w:rPr>
        <w:t xml:space="preserve">, apresentados no </w:t>
      </w:r>
      <w:r w:rsidR="008357C4">
        <w:rPr>
          <w:rFonts w:ascii="Tahoma" w:eastAsia="Calibri" w:hAnsi="Tahoma" w:cs="Tahoma"/>
          <w:sz w:val="19"/>
          <w:szCs w:val="19"/>
        </w:rPr>
        <w:t>Q</w:t>
      </w:r>
      <w:r w:rsidRPr="007C18AB">
        <w:rPr>
          <w:rFonts w:ascii="Tahoma" w:eastAsia="Calibri" w:hAnsi="Tahoma" w:cs="Tahoma"/>
          <w:sz w:val="19"/>
          <w:szCs w:val="19"/>
        </w:rPr>
        <w:t>uadro 7, a seguir.</w:t>
      </w:r>
    </w:p>
    <w:p w14:paraId="61F72A9A" w14:textId="77777777" w:rsidR="00967503" w:rsidRPr="007C18AB" w:rsidRDefault="00967503" w:rsidP="0012095B">
      <w:pPr>
        <w:suppressAutoHyphens/>
        <w:autoSpaceDN w:val="0"/>
        <w:spacing w:before="120" w:after="120" w:line="240" w:lineRule="auto"/>
        <w:jc w:val="both"/>
        <w:textAlignment w:val="baseline"/>
        <w:rPr>
          <w:rFonts w:ascii="Tahoma" w:eastAsia="Calibri" w:hAnsi="Tahoma" w:cs="Tahoma"/>
          <w:i/>
          <w:iCs/>
          <w:sz w:val="19"/>
          <w:szCs w:val="19"/>
        </w:rPr>
      </w:pPr>
      <w:r w:rsidRPr="007C18AB">
        <w:rPr>
          <w:rFonts w:ascii="Tahoma" w:eastAsia="Calibri" w:hAnsi="Tahoma" w:cs="Tahoma"/>
          <w:i/>
          <w:iCs/>
          <w:sz w:val="19"/>
          <w:szCs w:val="19"/>
        </w:rPr>
        <w:t>Quadro 7 – Indicadores da dimensão Políticas Públicas – RVA 202</w:t>
      </w:r>
      <w:r>
        <w:rPr>
          <w:rFonts w:ascii="Tahoma" w:eastAsia="Calibri" w:hAnsi="Tahoma" w:cs="Tahoma"/>
          <w:i/>
          <w:iCs/>
          <w:sz w:val="19"/>
          <w:szCs w:val="19"/>
        </w:rPr>
        <w:t>3</w:t>
      </w:r>
    </w:p>
    <w:tbl>
      <w:tblPr>
        <w:tblStyle w:val="Tabelacomgrade"/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1980"/>
        <w:gridCol w:w="3260"/>
        <w:gridCol w:w="4585"/>
      </w:tblGrid>
      <w:tr w:rsidR="00967503" w:rsidRPr="007C18AB" w14:paraId="53310E28" w14:textId="77777777" w:rsidTr="001B5F12">
        <w:trPr>
          <w:trHeight w:val="567"/>
          <w:tblHeader/>
        </w:trPr>
        <w:tc>
          <w:tcPr>
            <w:tcW w:w="1980" w:type="dxa"/>
            <w:shd w:val="clear" w:color="auto" w:fill="005051"/>
            <w:vAlign w:val="center"/>
          </w:tcPr>
          <w:p w14:paraId="622A4BBB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Indicador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A83375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b/>
                <w:bCs/>
                <w:color w:val="005051"/>
                <w:sz w:val="18"/>
                <w:szCs w:val="18"/>
              </w:rPr>
            </w:pPr>
            <w:r w:rsidRPr="007C18AB">
              <w:rPr>
                <w:rFonts w:ascii="Tahoma" w:hAnsi="Tahoma" w:cs="Tahoma"/>
                <w:b/>
                <w:bCs/>
                <w:color w:val="005051"/>
                <w:sz w:val="18"/>
                <w:szCs w:val="18"/>
              </w:rPr>
              <w:t>Taxa de contratação de micro, pequenas e médias empresas</w:t>
            </w:r>
          </w:p>
        </w:tc>
        <w:tc>
          <w:tcPr>
            <w:tcW w:w="4585" w:type="dxa"/>
            <w:shd w:val="clear" w:color="auto" w:fill="auto"/>
            <w:vAlign w:val="center"/>
          </w:tcPr>
          <w:p w14:paraId="4ECABFE8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b/>
                <w:bCs/>
                <w:color w:val="005051"/>
                <w:sz w:val="18"/>
                <w:szCs w:val="18"/>
              </w:rPr>
            </w:pPr>
            <w:r w:rsidRPr="00FF536B">
              <w:rPr>
                <w:rFonts w:ascii="Tahoma" w:hAnsi="Tahoma" w:cs="Tahoma"/>
                <w:b/>
                <w:bCs/>
                <w:color w:val="005051"/>
                <w:sz w:val="18"/>
                <w:szCs w:val="18"/>
              </w:rPr>
              <w:t>Execução de Recursos não Reembolsáveis do FNDCT</w:t>
            </w:r>
          </w:p>
        </w:tc>
      </w:tr>
      <w:tr w:rsidR="00967503" w:rsidRPr="007C18AB" w14:paraId="5F7C1436" w14:textId="77777777" w:rsidTr="00764825">
        <w:trPr>
          <w:trHeight w:val="340"/>
        </w:trPr>
        <w:tc>
          <w:tcPr>
            <w:tcW w:w="1980" w:type="dxa"/>
            <w:tcBorders>
              <w:bottom w:val="single" w:sz="2" w:space="0" w:color="BFBFBF"/>
            </w:tcBorders>
            <w:shd w:val="clear" w:color="auto" w:fill="005051"/>
            <w:vAlign w:val="center"/>
          </w:tcPr>
          <w:p w14:paraId="1BF8FD6F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Meta</w:t>
            </w:r>
          </w:p>
        </w:tc>
        <w:tc>
          <w:tcPr>
            <w:tcW w:w="3260" w:type="dxa"/>
            <w:tcBorders>
              <w:bottom w:val="single" w:sz="2" w:space="0" w:color="BFBFBF"/>
            </w:tcBorders>
            <w:vAlign w:val="center"/>
          </w:tcPr>
          <w:p w14:paraId="3A1F4A31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91,20</w:t>
            </w:r>
            <w:r w:rsidRPr="007C18AB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  <w:tc>
          <w:tcPr>
            <w:tcW w:w="4585" w:type="dxa"/>
            <w:tcBorders>
              <w:bottom w:val="single" w:sz="2" w:space="0" w:color="BFBFBF"/>
            </w:tcBorders>
            <w:vAlign w:val="center"/>
          </w:tcPr>
          <w:p w14:paraId="5D6DFC7C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99,84%</w:t>
            </w:r>
          </w:p>
        </w:tc>
      </w:tr>
      <w:tr w:rsidR="00967503" w:rsidRPr="007C18AB" w14:paraId="4CB9D1BE" w14:textId="77777777" w:rsidTr="00764825">
        <w:trPr>
          <w:trHeight w:val="340"/>
        </w:trPr>
        <w:tc>
          <w:tcPr>
            <w:tcW w:w="1980" w:type="dxa"/>
            <w:tcBorders>
              <w:bottom w:val="single" w:sz="2" w:space="0" w:color="BFBFBF"/>
            </w:tcBorders>
            <w:shd w:val="clear" w:color="auto" w:fill="005051"/>
            <w:vAlign w:val="center"/>
          </w:tcPr>
          <w:p w14:paraId="36203C6D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Resultado</w:t>
            </w:r>
          </w:p>
        </w:tc>
        <w:tc>
          <w:tcPr>
            <w:tcW w:w="3260" w:type="dxa"/>
            <w:tcBorders>
              <w:bottom w:val="single" w:sz="2" w:space="0" w:color="BFBFBF"/>
            </w:tcBorders>
            <w:vAlign w:val="center"/>
          </w:tcPr>
          <w:p w14:paraId="0DBAEF27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94,56</w:t>
            </w:r>
            <w:r w:rsidRPr="007C18AB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  <w:tc>
          <w:tcPr>
            <w:tcW w:w="4585" w:type="dxa"/>
            <w:tcBorders>
              <w:bottom w:val="single" w:sz="2" w:space="0" w:color="BFBFBF"/>
            </w:tcBorders>
            <w:vAlign w:val="center"/>
          </w:tcPr>
          <w:p w14:paraId="57755E91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116,83%</w:t>
            </w:r>
          </w:p>
        </w:tc>
      </w:tr>
      <w:tr w:rsidR="00967503" w:rsidRPr="007C18AB" w14:paraId="77457D00" w14:textId="77777777" w:rsidTr="00764825">
        <w:trPr>
          <w:trHeight w:val="340"/>
        </w:trPr>
        <w:tc>
          <w:tcPr>
            <w:tcW w:w="1980" w:type="dxa"/>
            <w:tcBorders>
              <w:left w:val="nil"/>
              <w:bottom w:val="nil"/>
            </w:tcBorders>
            <w:shd w:val="clear" w:color="auto" w:fill="005051"/>
            <w:vAlign w:val="center"/>
          </w:tcPr>
          <w:p w14:paraId="0FB0438A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% de atingimento</w:t>
            </w:r>
          </w:p>
        </w:tc>
        <w:tc>
          <w:tcPr>
            <w:tcW w:w="3260" w:type="dxa"/>
            <w:tcBorders>
              <w:bottom w:val="single" w:sz="2" w:space="0" w:color="BFBFBF"/>
            </w:tcBorders>
            <w:vAlign w:val="center"/>
          </w:tcPr>
          <w:p w14:paraId="781BAC9E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10</w:t>
            </w:r>
            <w:r>
              <w:rPr>
                <w:rFonts w:ascii="Tahoma" w:hAnsi="Tahoma" w:cs="Tahoma"/>
                <w:sz w:val="18"/>
                <w:szCs w:val="18"/>
              </w:rPr>
              <w:t>3,68</w:t>
            </w:r>
            <w:r w:rsidRPr="007C18AB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  <w:tc>
          <w:tcPr>
            <w:tcW w:w="4585" w:type="dxa"/>
            <w:tcBorders>
              <w:bottom w:val="single" w:sz="2" w:space="0" w:color="BFBFBF"/>
            </w:tcBorders>
            <w:vAlign w:val="center"/>
          </w:tcPr>
          <w:p w14:paraId="58BA1F09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117,02%</w:t>
            </w:r>
          </w:p>
        </w:tc>
      </w:tr>
      <w:tr w:rsidR="00967503" w:rsidRPr="007C18AB" w14:paraId="230B187C" w14:textId="77777777" w:rsidTr="001B5F12">
        <w:trPr>
          <w:trHeight w:val="567"/>
        </w:trPr>
        <w:tc>
          <w:tcPr>
            <w:tcW w:w="1980" w:type="dxa"/>
            <w:tcBorders>
              <w:top w:val="nil"/>
              <w:left w:val="nil"/>
            </w:tcBorders>
            <w:shd w:val="clear" w:color="auto" w:fill="005051"/>
            <w:vAlign w:val="center"/>
          </w:tcPr>
          <w:p w14:paraId="3FD955F2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Fórmula de cálculo</w:t>
            </w:r>
          </w:p>
        </w:tc>
        <w:tc>
          <w:tcPr>
            <w:tcW w:w="3260" w:type="dxa"/>
            <w:tcBorders>
              <w:top w:val="single" w:sz="2" w:space="0" w:color="BFBFBF"/>
            </w:tcBorders>
            <w:vAlign w:val="center"/>
          </w:tcPr>
          <w:p w14:paraId="0FC302F4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 xml:space="preserve">Número de operações contratadas com MPMEs </w:t>
            </w:r>
            <w:r w:rsidRPr="00DA2D0B">
              <w:rPr>
                <w:rFonts w:ascii="Tahoma" w:hAnsi="Tahoma" w:cs="Tahoma"/>
                <w:b/>
                <w:bCs/>
                <w:sz w:val="18"/>
                <w:szCs w:val="18"/>
              </w:rPr>
              <w:t>/</w:t>
            </w:r>
            <w:r w:rsidRPr="007C18AB">
              <w:rPr>
                <w:rFonts w:ascii="Tahoma" w:hAnsi="Tahoma" w:cs="Tahoma"/>
                <w:sz w:val="18"/>
                <w:szCs w:val="18"/>
              </w:rPr>
              <w:t xml:space="preserve"> Número de operações contratadas com empresas de todos os portes</w:t>
            </w:r>
          </w:p>
          <w:p w14:paraId="4754FC8B" w14:textId="77777777" w:rsidR="00967503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</w:p>
          <w:p w14:paraId="2269394A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Onde:</w:t>
            </w:r>
          </w:p>
          <w:p w14:paraId="39C788BA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 xml:space="preserve">MPMEs = empresas que possuem Receita Operacional Bruta (ROB) inferior ou igual a R$ </w:t>
            </w:r>
            <w:r>
              <w:rPr>
                <w:rFonts w:ascii="Tahoma" w:hAnsi="Tahoma" w:cs="Tahoma"/>
                <w:sz w:val="18"/>
                <w:szCs w:val="18"/>
              </w:rPr>
              <w:t>30</w:t>
            </w:r>
            <w:r w:rsidRPr="007C18AB">
              <w:rPr>
                <w:rFonts w:ascii="Tahoma" w:hAnsi="Tahoma" w:cs="Tahoma"/>
                <w:sz w:val="18"/>
                <w:szCs w:val="18"/>
              </w:rPr>
              <w:t>0 milhões.</w:t>
            </w:r>
          </w:p>
        </w:tc>
        <w:tc>
          <w:tcPr>
            <w:tcW w:w="4585" w:type="dxa"/>
            <w:tcBorders>
              <w:top w:val="single" w:sz="2" w:space="0" w:color="BFBFBF"/>
            </w:tcBorders>
            <w:vAlign w:val="center"/>
          </w:tcPr>
          <w:p w14:paraId="36D50DEE" w14:textId="77777777" w:rsidR="00967503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Orçamento utilizado </w:t>
            </w:r>
            <w:r w:rsidRPr="00DA2D0B">
              <w:rPr>
                <w:rFonts w:ascii="Tahoma" w:hAnsi="Tahoma" w:cs="Tahoma"/>
                <w:b/>
                <w:bCs/>
                <w:sz w:val="18"/>
                <w:szCs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 xml:space="preserve"> Orçamento inicial LOA </w:t>
            </w:r>
            <w:r w:rsidRPr="00DA2D0B">
              <w:rPr>
                <w:rFonts w:ascii="Tahoma" w:hAnsi="Tahoma" w:cs="Tahoma"/>
                <w:b/>
                <w:bCs/>
                <w:sz w:val="18"/>
                <w:szCs w:val="18"/>
              </w:rPr>
              <w:t>–</w:t>
            </w:r>
            <w:r>
              <w:rPr>
                <w:rFonts w:ascii="Tahoma" w:hAnsi="Tahoma" w:cs="Tahoma"/>
                <w:sz w:val="18"/>
                <w:szCs w:val="18"/>
              </w:rPr>
              <w:t xml:space="preserve"> orçamento bloqueado ou cancelado </w:t>
            </w:r>
            <w:r w:rsidRPr="00DA2D0B">
              <w:rPr>
                <w:rFonts w:ascii="Tahoma" w:hAnsi="Tahoma" w:cs="Tahoma"/>
                <w:b/>
                <w:bCs/>
                <w:sz w:val="18"/>
                <w:szCs w:val="18"/>
              </w:rPr>
              <w:t>+</w:t>
            </w:r>
            <w:r>
              <w:rPr>
                <w:rFonts w:ascii="Tahoma" w:hAnsi="Tahoma" w:cs="Tahoma"/>
                <w:sz w:val="18"/>
                <w:szCs w:val="18"/>
              </w:rPr>
              <w:t xml:space="preserve"> crédito suplementares ou desbloqueados </w:t>
            </w:r>
            <w:r w:rsidRPr="00DA2D0B">
              <w:rPr>
                <w:rFonts w:ascii="Tahoma" w:hAnsi="Tahoma" w:cs="Tahoma"/>
                <w:b/>
                <w:bCs/>
                <w:sz w:val="18"/>
                <w:szCs w:val="18"/>
              </w:rPr>
              <w:t>*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redutor</w:t>
            </w:r>
          </w:p>
          <w:p w14:paraId="26842C71" w14:textId="77777777" w:rsidR="00967503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</w:p>
          <w:p w14:paraId="37A9C1BE" w14:textId="77777777" w:rsidR="00967503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Onde: </w:t>
            </w:r>
          </w:p>
          <w:p w14:paraId="067A75EF" w14:textId="77777777" w:rsidR="00967503" w:rsidRPr="00DA2D0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DA2D0B">
              <w:rPr>
                <w:rFonts w:ascii="Tahoma" w:hAnsi="Tahoma" w:cs="Tahoma"/>
                <w:sz w:val="18"/>
                <w:szCs w:val="18"/>
              </w:rPr>
              <w:t>Redutor = (nº de dias úteis restantes até o final do ano a partir da data de desbloqueio do orçamento/ nº de dias úteis total do ano corrente) em função da necessidade de tempo hábil das ações necessárias à execução do orçamento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967503" w:rsidRPr="007C18AB" w14:paraId="546FDBE5" w14:textId="77777777" w:rsidTr="001B5F12">
        <w:trPr>
          <w:trHeight w:val="567"/>
        </w:trPr>
        <w:tc>
          <w:tcPr>
            <w:tcW w:w="1980" w:type="dxa"/>
            <w:shd w:val="clear" w:color="auto" w:fill="005051"/>
            <w:vAlign w:val="center"/>
          </w:tcPr>
          <w:p w14:paraId="7BB70B89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Relevância / descrição</w:t>
            </w:r>
          </w:p>
        </w:tc>
        <w:tc>
          <w:tcPr>
            <w:tcW w:w="3260" w:type="dxa"/>
            <w:vAlign w:val="center"/>
          </w:tcPr>
          <w:p w14:paraId="38427357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 w:rsidRPr="007C18AB">
              <w:rPr>
                <w:rFonts w:ascii="Tahoma" w:hAnsi="Tahoma" w:cs="Tahoma"/>
                <w:sz w:val="18"/>
                <w:szCs w:val="18"/>
              </w:rPr>
              <w:t>Afere a contribuição da Finep para o atingimento de objetivos de política pública que envolvem a promoção de MPMEs</w:t>
            </w:r>
          </w:p>
        </w:tc>
        <w:tc>
          <w:tcPr>
            <w:tcW w:w="4585" w:type="dxa"/>
            <w:vAlign w:val="center"/>
          </w:tcPr>
          <w:p w14:paraId="684FB216" w14:textId="77777777" w:rsidR="00967503" w:rsidRPr="007C18AB" w:rsidRDefault="00967503" w:rsidP="001B5F12">
            <w:pPr>
              <w:suppressAutoHyphens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DA2D0B">
              <w:rPr>
                <w:rFonts w:ascii="Tahoma" w:hAnsi="Tahoma" w:cs="Tahoma"/>
                <w:sz w:val="18"/>
                <w:szCs w:val="18"/>
              </w:rPr>
              <w:t>fere o nível de execução dos recursos não reembolsáveis do FNDCT por parte da Finep</w:t>
            </w:r>
          </w:p>
        </w:tc>
      </w:tr>
    </w:tbl>
    <w:p w14:paraId="6253BB3A" w14:textId="77777777" w:rsidR="00967503" w:rsidRPr="007C18AB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</w:p>
    <w:p w14:paraId="41429482" w14:textId="77777777" w:rsidR="00967503" w:rsidRPr="007C18AB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7C18AB">
        <w:rPr>
          <w:rFonts w:ascii="Tahoma" w:eastAsia="Calibri" w:hAnsi="Tahoma" w:cs="Tahoma"/>
          <w:sz w:val="19"/>
          <w:szCs w:val="19"/>
        </w:rPr>
        <w:t xml:space="preserve">Conforme previsto no art. 19, do Decreto nº 8.945, de 2016, é informada a seguir a remuneração individual dos administradores da empresa. Essa informação detalhada pode ser encontrada em </w:t>
      </w:r>
      <w:hyperlink r:id="rId52" w:history="1">
        <w:r w:rsidRPr="007C18AB">
          <w:rPr>
            <w:rFonts w:ascii="Tahoma" w:eastAsia="Calibri" w:hAnsi="Tahoma" w:cs="Tahoma"/>
            <w:color w:val="0563C1"/>
            <w:sz w:val="19"/>
            <w:szCs w:val="19"/>
            <w:u w:val="single"/>
          </w:rPr>
          <w:t>http://www.finep.gov.br/consulta-empregado</w:t>
        </w:r>
      </w:hyperlink>
      <w:r w:rsidRPr="007C18AB">
        <w:rPr>
          <w:rFonts w:ascii="Tahoma" w:eastAsia="Calibri" w:hAnsi="Tahoma" w:cs="Tahoma"/>
          <w:color w:val="0563C1"/>
          <w:sz w:val="19"/>
          <w:szCs w:val="19"/>
          <w:u w:val="single"/>
        </w:rPr>
        <w:t>.</w:t>
      </w:r>
    </w:p>
    <w:p w14:paraId="32482368" w14:textId="77777777" w:rsidR="00967503" w:rsidRPr="007C18AB" w:rsidRDefault="00967503" w:rsidP="0012095B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7C18AB">
        <w:rPr>
          <w:rFonts w:ascii="Tahoma" w:eastAsia="Calibri" w:hAnsi="Tahoma" w:cs="Tahoma"/>
          <w:sz w:val="19"/>
          <w:szCs w:val="19"/>
        </w:rPr>
        <w:t>O Quadro 8 apresenta o montante pago aos membros da Diretoria Executiva da Finep em 202</w:t>
      </w:r>
      <w:r>
        <w:rPr>
          <w:rFonts w:ascii="Tahoma" w:eastAsia="Calibri" w:hAnsi="Tahoma" w:cs="Tahoma"/>
          <w:sz w:val="19"/>
          <w:szCs w:val="19"/>
        </w:rPr>
        <w:t>3</w:t>
      </w:r>
      <w:r w:rsidRPr="007C18AB">
        <w:rPr>
          <w:rFonts w:ascii="Tahoma" w:eastAsia="Calibri" w:hAnsi="Tahoma" w:cs="Tahoma"/>
          <w:sz w:val="19"/>
          <w:szCs w:val="19"/>
        </w:rPr>
        <w:t>.</w:t>
      </w:r>
    </w:p>
    <w:p w14:paraId="14832101" w14:textId="77777777" w:rsidR="00967503" w:rsidRPr="007C18AB" w:rsidRDefault="00967503" w:rsidP="0012095B">
      <w:pPr>
        <w:spacing w:before="120" w:after="120" w:line="240" w:lineRule="auto"/>
        <w:rPr>
          <w:rFonts w:ascii="Tahoma" w:eastAsia="SimSun" w:hAnsi="Tahoma" w:cs="Tahoma"/>
          <w:i/>
          <w:iCs/>
          <w:sz w:val="19"/>
          <w:szCs w:val="19"/>
          <w:lang w:eastAsia="pt-BR"/>
        </w:rPr>
      </w:pPr>
      <w:r w:rsidRPr="007C18AB">
        <w:rPr>
          <w:rFonts w:ascii="Tahoma" w:eastAsia="Calibri" w:hAnsi="Tahoma" w:cs="Tahoma"/>
          <w:i/>
          <w:sz w:val="19"/>
          <w:szCs w:val="19"/>
        </w:rPr>
        <w:t>Quadro 8 - Diretores em exercício no ano de 202</w:t>
      </w:r>
      <w:r>
        <w:rPr>
          <w:rFonts w:ascii="Tahoma" w:eastAsia="Calibri" w:hAnsi="Tahoma" w:cs="Tahoma"/>
          <w:i/>
          <w:sz w:val="19"/>
          <w:szCs w:val="19"/>
        </w:rPr>
        <w:t>3</w:t>
      </w:r>
      <w:r w:rsidRPr="007C18AB">
        <w:rPr>
          <w:rFonts w:ascii="Tahoma" w:eastAsia="Calibri" w:hAnsi="Tahoma" w:cs="Tahoma"/>
          <w:i/>
          <w:sz w:val="19"/>
          <w:szCs w:val="19"/>
        </w:rPr>
        <w:t xml:space="preserve"> (em </w:t>
      </w:r>
      <w:r w:rsidRPr="007C18AB">
        <w:rPr>
          <w:rFonts w:ascii="Tahoma" w:eastAsia="SimSun" w:hAnsi="Tahoma" w:cs="Tahoma"/>
          <w:i/>
          <w:iCs/>
          <w:sz w:val="19"/>
          <w:szCs w:val="19"/>
          <w:lang w:eastAsia="pt-BR"/>
        </w:rPr>
        <w:t>R$)</w:t>
      </w:r>
    </w:p>
    <w:tbl>
      <w:tblPr>
        <w:tblW w:w="90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1"/>
        <w:gridCol w:w="1784"/>
        <w:gridCol w:w="2264"/>
        <w:gridCol w:w="1709"/>
      </w:tblGrid>
      <w:tr w:rsidR="00967503" w:rsidRPr="007C18AB" w14:paraId="143FE039" w14:textId="77777777" w:rsidTr="00A4510A">
        <w:trPr>
          <w:trHeight w:val="340"/>
          <w:tblHeader/>
        </w:trPr>
        <w:tc>
          <w:tcPr>
            <w:tcW w:w="3331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5DD23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1784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13CE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CPF</w:t>
            </w:r>
          </w:p>
        </w:tc>
        <w:tc>
          <w:tcPr>
            <w:tcW w:w="2264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AB581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Período</w:t>
            </w:r>
            <w:r w:rsidRPr="00A4510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1</w:t>
            </w:r>
          </w:p>
        </w:tc>
        <w:tc>
          <w:tcPr>
            <w:tcW w:w="1709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1B6D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Remuneração</w:t>
            </w:r>
            <w:r w:rsidRPr="00A4510A">
              <w:rPr>
                <w:rFonts w:ascii="Tahoma" w:eastAsia="Times New Roman" w:hAnsi="Tahoma" w:cs="Tahoma"/>
                <w:b/>
                <w:color w:val="FFFFFF"/>
                <w:sz w:val="18"/>
                <w:szCs w:val="18"/>
                <w:vertAlign w:val="superscript"/>
                <w:lang w:eastAsia="pt-BR"/>
              </w:rPr>
              <w:t>2</w:t>
            </w:r>
          </w:p>
        </w:tc>
      </w:tr>
      <w:tr w:rsidR="00967503" w:rsidRPr="007C18AB" w14:paraId="4DBA657B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9B230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Waldemar Barroso Magno Neto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5C037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***.067.557-**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BE3A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 xml:space="preserve">04/02/2019 a </w:t>
            </w: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26/03/2023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99088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489.718,05</w:t>
            </w:r>
          </w:p>
        </w:tc>
      </w:tr>
      <w:tr w:rsidR="00967503" w:rsidRPr="007C18AB" w14:paraId="6F41E1C7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402BE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Adriano Alves Faria Lattarulo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79EB72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***.034.918-**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A45A3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 xml:space="preserve">18/10/2019 a </w:t>
            </w: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26/03/2023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E6B2A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352.483,14</w:t>
            </w:r>
          </w:p>
        </w:tc>
      </w:tr>
      <w:tr w:rsidR="00967503" w:rsidRPr="007C18AB" w14:paraId="738668FF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F7FFC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Alberto Pinheiro Dantas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DC79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***.068.577-**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E5B3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18/04/2019 a 20/05/2021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E671C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8.755,60</w:t>
            </w:r>
          </w:p>
        </w:tc>
      </w:tr>
      <w:tr w:rsidR="00967503" w:rsidRPr="007C18AB" w14:paraId="57E1C78E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76F7F3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André Luz de Godoy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2DBC1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***.636.236-**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5309C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 xml:space="preserve">20/04/2018 a </w:t>
            </w: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26/03/2023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6C509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358.242,70</w:t>
            </w:r>
          </w:p>
        </w:tc>
      </w:tr>
      <w:tr w:rsidR="00967503" w:rsidRPr="007C18AB" w14:paraId="6ECB18B2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171E6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Marcelo Silva Bortolini de Castro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B39D4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***.615.277-**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6597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 xml:space="preserve">18/04/2019 a </w:t>
            </w: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26/03/2023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36089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466.162,40</w:t>
            </w:r>
          </w:p>
        </w:tc>
      </w:tr>
      <w:tr w:rsidR="00967503" w:rsidRPr="007C18AB" w14:paraId="7F5CCBA8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F55F6" w14:textId="77777777" w:rsidR="00967503" w:rsidRPr="007C18AB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>Otávio Augusto Burgardt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1640F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***.168.904-**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854F1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color w:val="000000"/>
                <w:sz w:val="18"/>
                <w:szCs w:val="18"/>
              </w:rPr>
              <w:t xml:space="preserve">23/07/2021 a </w:t>
            </w: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26/03/2023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F5716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538.473,94</w:t>
            </w:r>
          </w:p>
        </w:tc>
      </w:tr>
      <w:tr w:rsidR="00967503" w:rsidRPr="007C18AB" w14:paraId="64053E7E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DDA54" w14:textId="77777777" w:rsidR="00967503" w:rsidRPr="00292C9F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sz w:val="18"/>
                <w:szCs w:val="18"/>
              </w:rPr>
              <w:t>Celso Pansera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D8A61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eastAsia="Calibri" w:hAnsi="Tahoma" w:cs="Tahoma"/>
                <w:sz w:val="18"/>
                <w:szCs w:val="18"/>
              </w:rPr>
              <w:t>***.122.449-**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2781E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27/03/2023 a 31/12/2023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6D84F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554.595,41</w:t>
            </w:r>
          </w:p>
        </w:tc>
      </w:tr>
      <w:tr w:rsidR="00967503" w:rsidRPr="007C18AB" w14:paraId="34BE685A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B41EA" w14:textId="77777777" w:rsidR="00967503" w:rsidRPr="00292C9F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sz w:val="18"/>
                <w:szCs w:val="18"/>
              </w:rPr>
              <w:t>Carlos Alberto Arag</w:t>
            </w:r>
            <w:r>
              <w:rPr>
                <w:rFonts w:ascii="Tahoma" w:hAnsi="Tahoma" w:cs="Tahoma"/>
                <w:sz w:val="18"/>
                <w:szCs w:val="18"/>
              </w:rPr>
              <w:t>ã</w:t>
            </w:r>
            <w:r w:rsidRPr="00292C9F">
              <w:rPr>
                <w:rFonts w:ascii="Tahoma" w:hAnsi="Tahoma" w:cs="Tahoma"/>
                <w:sz w:val="18"/>
                <w:szCs w:val="18"/>
              </w:rPr>
              <w:t>o de Carvalho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92C9F">
              <w:rPr>
                <w:rFonts w:ascii="Tahoma" w:hAnsi="Tahoma" w:cs="Tahoma"/>
                <w:sz w:val="18"/>
                <w:szCs w:val="18"/>
              </w:rPr>
              <w:t>Filho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C7530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eastAsia="Calibri" w:hAnsi="Tahoma" w:cs="Tahoma"/>
                <w:sz w:val="18"/>
                <w:szCs w:val="18"/>
              </w:rPr>
              <w:t>***.000.447-**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08A1B4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27/03/2023 a 31/12/2023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06C7A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477.403,82</w:t>
            </w:r>
          </w:p>
        </w:tc>
      </w:tr>
      <w:tr w:rsidR="00967503" w:rsidRPr="007C18AB" w14:paraId="5DF0C83C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60AFB" w14:textId="77777777" w:rsidR="00967503" w:rsidRPr="00292C9F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sz w:val="18"/>
                <w:szCs w:val="18"/>
              </w:rPr>
              <w:t>Elias Ramos de Souza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00131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eastAsia="Calibri" w:hAnsi="Tahoma" w:cs="Tahoma"/>
                <w:sz w:val="18"/>
                <w:szCs w:val="18"/>
              </w:rPr>
              <w:t>***.145.885-**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AB5F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27/03/2023 a 31/12/2023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4175A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592.727,70</w:t>
            </w:r>
          </w:p>
        </w:tc>
      </w:tr>
      <w:tr w:rsidR="00967503" w:rsidRPr="007C18AB" w14:paraId="26897FE1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E9F67" w14:textId="77777777" w:rsidR="00967503" w:rsidRPr="00292C9F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sz w:val="18"/>
                <w:szCs w:val="18"/>
              </w:rPr>
              <w:t>Janaina Prevot Nascimento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762B0D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eastAsia="Calibri" w:hAnsi="Tahoma" w:cs="Tahoma"/>
                <w:sz w:val="18"/>
                <w:szCs w:val="18"/>
              </w:rPr>
              <w:t>***.775.987-**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E7CA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27/03/2023 a 31/12/2023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0A792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443.775,22</w:t>
            </w:r>
          </w:p>
        </w:tc>
      </w:tr>
      <w:tr w:rsidR="00967503" w:rsidRPr="007C18AB" w14:paraId="73EB32FD" w14:textId="77777777" w:rsidTr="001B5F12">
        <w:trPr>
          <w:trHeight w:val="287"/>
        </w:trPr>
        <w:tc>
          <w:tcPr>
            <w:tcW w:w="333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BAD8A" w14:textId="77777777" w:rsidR="00967503" w:rsidRPr="00292C9F" w:rsidRDefault="00967503" w:rsidP="0012095B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sz w:val="18"/>
                <w:szCs w:val="18"/>
              </w:rPr>
              <w:t>Márcio Stefanni Monteiro Morais</w:t>
            </w:r>
          </w:p>
        </w:tc>
        <w:tc>
          <w:tcPr>
            <w:tcW w:w="178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D2F98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292C9F">
              <w:rPr>
                <w:rFonts w:ascii="Tahoma" w:eastAsia="Calibri" w:hAnsi="Tahoma" w:cs="Tahoma"/>
                <w:sz w:val="18"/>
                <w:szCs w:val="18"/>
              </w:rPr>
              <w:t>***.578.224-**</w:t>
            </w:r>
          </w:p>
        </w:tc>
        <w:tc>
          <w:tcPr>
            <w:tcW w:w="226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7B75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26/06/2023 a 31/12/2023</w:t>
            </w:r>
          </w:p>
        </w:tc>
        <w:tc>
          <w:tcPr>
            <w:tcW w:w="170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1EF6F" w14:textId="77777777" w:rsidR="00967503" w:rsidRPr="00292C9F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92C9F">
              <w:rPr>
                <w:rFonts w:ascii="Tahoma" w:hAnsi="Tahoma" w:cs="Tahoma"/>
                <w:color w:val="000000"/>
                <w:sz w:val="18"/>
                <w:szCs w:val="18"/>
              </w:rPr>
              <w:t>17.912,46</w:t>
            </w:r>
            <w:r w:rsidRPr="00A4510A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</w:tbl>
    <w:p w14:paraId="2110008F" w14:textId="77777777" w:rsidR="00967503" w:rsidRPr="0012095B" w:rsidRDefault="00967503" w:rsidP="0012095B">
      <w:pPr>
        <w:spacing w:before="120" w:after="120" w:line="240" w:lineRule="auto"/>
        <w:rPr>
          <w:rFonts w:ascii="Tahoma" w:eastAsia="Calibri" w:hAnsi="Tahoma" w:cs="Tahoma"/>
          <w:sz w:val="18"/>
          <w:szCs w:val="18"/>
        </w:rPr>
      </w:pPr>
      <w:r w:rsidRPr="0012095B">
        <w:rPr>
          <w:rFonts w:ascii="Tahoma" w:eastAsia="Calibri" w:hAnsi="Tahoma" w:cs="Tahoma"/>
          <w:sz w:val="18"/>
          <w:szCs w:val="18"/>
        </w:rPr>
        <w:t>Fonte: Área de Gestão de Pessoas (AGEP/Finep)</w:t>
      </w:r>
    </w:p>
    <w:p w14:paraId="4F2C8AEC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Notas Quadro 8:</w:t>
      </w:r>
    </w:p>
    <w:p w14:paraId="7ADA572C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1 - A data inicial indica a data de posse no cargo, porém a remuneração informada foi aquela paga no exercício de 202</w:t>
      </w:r>
      <w:r>
        <w:rPr>
          <w:rFonts w:ascii="Tahoma" w:eastAsia="Calibri" w:hAnsi="Tahoma" w:cs="Tahoma"/>
          <w:sz w:val="16"/>
          <w:szCs w:val="16"/>
        </w:rPr>
        <w:t>3</w:t>
      </w:r>
      <w:r w:rsidRPr="007C18AB">
        <w:rPr>
          <w:rFonts w:ascii="Tahoma" w:eastAsia="Calibri" w:hAnsi="Tahoma" w:cs="Tahoma"/>
          <w:sz w:val="16"/>
          <w:szCs w:val="16"/>
        </w:rPr>
        <w:t>.</w:t>
      </w:r>
    </w:p>
    <w:p w14:paraId="254F3237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lastRenderedPageBreak/>
        <w:t>2 - Inclui gratificação natalina (13º salário), benefícios, ajudas de custo e indenizações. Inclui ainda parcela à vista da Remuneração Variável Anual referente ao exercício de 202</w:t>
      </w:r>
      <w:r>
        <w:rPr>
          <w:rFonts w:ascii="Tahoma" w:eastAsia="Calibri" w:hAnsi="Tahoma" w:cs="Tahoma"/>
          <w:sz w:val="16"/>
          <w:szCs w:val="16"/>
        </w:rPr>
        <w:t>2,</w:t>
      </w:r>
      <w:r w:rsidRPr="007C18AB">
        <w:rPr>
          <w:rFonts w:ascii="Tahoma" w:eastAsia="Calibri" w:hAnsi="Tahoma" w:cs="Tahoma"/>
          <w:sz w:val="16"/>
          <w:szCs w:val="16"/>
        </w:rPr>
        <w:t xml:space="preserve"> primeira parcela diferida da Remuneração Variável Anual referente ao exercício de 202</w:t>
      </w:r>
      <w:r>
        <w:rPr>
          <w:rFonts w:ascii="Tahoma" w:eastAsia="Calibri" w:hAnsi="Tahoma" w:cs="Tahoma"/>
          <w:sz w:val="16"/>
          <w:szCs w:val="16"/>
        </w:rPr>
        <w:t>1 e segunda parcela diferida da Remuneração Variável Anual do exercício de 2020</w:t>
      </w:r>
      <w:r w:rsidRPr="007C18AB">
        <w:rPr>
          <w:rFonts w:ascii="Tahoma" w:eastAsia="Calibri" w:hAnsi="Tahoma" w:cs="Tahoma"/>
          <w:sz w:val="16"/>
          <w:szCs w:val="16"/>
        </w:rPr>
        <w:t>.</w:t>
      </w:r>
    </w:p>
    <w:p w14:paraId="6A462BF0" w14:textId="77777777" w:rsidR="00967503" w:rsidRDefault="00967503" w:rsidP="00A4510A">
      <w:pPr>
        <w:spacing w:after="120" w:line="240" w:lineRule="auto"/>
        <w:rPr>
          <w:rFonts w:ascii="Tahoma" w:eastAsia="Calibri" w:hAnsi="Tahoma" w:cs="Tahoma"/>
          <w:sz w:val="16"/>
          <w:szCs w:val="16"/>
        </w:rPr>
      </w:pPr>
      <w:r>
        <w:rPr>
          <w:rFonts w:ascii="Tahoma" w:eastAsia="Calibri" w:hAnsi="Tahoma" w:cs="Tahoma"/>
          <w:sz w:val="16"/>
          <w:szCs w:val="16"/>
        </w:rPr>
        <w:t>3 - Apenas ajuda de custo de diárias. O Diretor é empregado efetivo do BNDES cedido à Finep. Recebe a remuneração de seu cago efetivo, paga diretamente a ele pelo BNDES e reembolsada ao Banco pela Finep dentro dos limites aprovados pela AGO.</w:t>
      </w:r>
    </w:p>
    <w:p w14:paraId="7A0B9999" w14:textId="77777777" w:rsidR="00A4510A" w:rsidRDefault="00A4510A" w:rsidP="00A4510A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</w:p>
    <w:p w14:paraId="21108CBA" w14:textId="661CCDAF" w:rsidR="00967503" w:rsidRPr="007C18AB" w:rsidRDefault="00967503" w:rsidP="00A4510A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  <w:r w:rsidRPr="007C18AB">
        <w:rPr>
          <w:rFonts w:ascii="Tahoma" w:eastAsia="Calibri" w:hAnsi="Tahoma" w:cs="Tahoma"/>
          <w:sz w:val="19"/>
          <w:szCs w:val="19"/>
        </w:rPr>
        <w:t>Os Quadros 9 e 10 detalham a remuneração paga aos Conselheiros e o Quadro 11 a remuneração dos membros do Comitê de Auditoria.</w:t>
      </w:r>
    </w:p>
    <w:p w14:paraId="12F37CB0" w14:textId="77777777" w:rsidR="00967503" w:rsidRPr="007C18AB" w:rsidRDefault="00967503" w:rsidP="00A4510A">
      <w:pPr>
        <w:spacing w:before="120" w:after="120" w:line="240" w:lineRule="auto"/>
        <w:rPr>
          <w:rFonts w:ascii="Tahoma" w:eastAsia="Calibri" w:hAnsi="Tahoma" w:cs="Tahoma"/>
          <w:i/>
          <w:sz w:val="19"/>
          <w:szCs w:val="19"/>
        </w:rPr>
      </w:pPr>
      <w:r w:rsidRPr="007C18AB">
        <w:rPr>
          <w:rFonts w:ascii="Tahoma" w:eastAsia="Calibri" w:hAnsi="Tahoma" w:cs="Tahoma"/>
          <w:i/>
          <w:sz w:val="19"/>
          <w:szCs w:val="19"/>
        </w:rPr>
        <w:t>Quadro 9 - Remuneração paga aos membros do Conselho de Administração em 202</w:t>
      </w:r>
      <w:r>
        <w:rPr>
          <w:rFonts w:ascii="Tahoma" w:eastAsia="Calibri" w:hAnsi="Tahoma" w:cs="Tahoma"/>
          <w:i/>
          <w:sz w:val="19"/>
          <w:szCs w:val="19"/>
        </w:rPr>
        <w:t>3</w:t>
      </w:r>
      <w:r w:rsidRPr="007C18AB">
        <w:rPr>
          <w:rFonts w:ascii="Tahoma" w:eastAsia="Calibri" w:hAnsi="Tahoma" w:cs="Tahoma"/>
          <w:i/>
          <w:sz w:val="19"/>
          <w:szCs w:val="19"/>
        </w:rPr>
        <w:t xml:space="preserve"> (em R$)</w:t>
      </w: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14"/>
        <w:gridCol w:w="1766"/>
        <w:gridCol w:w="2345"/>
        <w:gridCol w:w="1624"/>
      </w:tblGrid>
      <w:tr w:rsidR="00967503" w:rsidRPr="007C18AB" w14:paraId="2D27E3D4" w14:textId="77777777" w:rsidTr="00A4510A">
        <w:trPr>
          <w:trHeight w:val="340"/>
          <w:tblHeader/>
        </w:trPr>
        <w:tc>
          <w:tcPr>
            <w:tcW w:w="3614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3197F" w14:textId="77777777" w:rsidR="00967503" w:rsidRPr="007C18AB" w:rsidRDefault="00967503" w:rsidP="00A4510A">
            <w:pPr>
              <w:spacing w:after="0" w:line="240" w:lineRule="auto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1766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5E16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CPF</w:t>
            </w:r>
          </w:p>
        </w:tc>
        <w:tc>
          <w:tcPr>
            <w:tcW w:w="2345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4CBBD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Período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1</w:t>
            </w:r>
          </w:p>
        </w:tc>
        <w:tc>
          <w:tcPr>
            <w:tcW w:w="1624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8E8CD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Remuneração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2</w:t>
            </w:r>
          </w:p>
        </w:tc>
      </w:tr>
      <w:tr w:rsidR="00967503" w:rsidRPr="007C18AB" w14:paraId="0CAF0230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C104F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Alvaro Kober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A8DCD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***.970.358-**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EC8E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14/02/2020 a </w:t>
            </w:r>
            <w:r w:rsidRPr="005A09EF">
              <w:rPr>
                <w:rFonts w:ascii="Tahoma" w:eastAsia="Calibri" w:hAnsi="Tahoma" w:cs="Tahoma"/>
                <w:sz w:val="18"/>
                <w:szCs w:val="18"/>
              </w:rPr>
              <w:t>22/06/2023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E91DF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29.724,17</w:t>
            </w:r>
          </w:p>
        </w:tc>
      </w:tr>
      <w:tr w:rsidR="00967503" w:rsidRPr="007C18AB" w14:paraId="782EED6D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3ADAD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João Luis Rossi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A8F3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***.780.088-**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49110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21/01/2022 a </w:t>
            </w:r>
            <w:r w:rsidRPr="00FB5833">
              <w:rPr>
                <w:rFonts w:ascii="Tahoma" w:eastAsia="Calibri" w:hAnsi="Tahoma" w:cs="Tahoma"/>
                <w:sz w:val="18"/>
                <w:szCs w:val="18"/>
              </w:rPr>
              <w:t>23/04/2023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DDE1E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19.536,73</w:t>
            </w:r>
          </w:p>
        </w:tc>
      </w:tr>
      <w:tr w:rsidR="00967503" w:rsidRPr="007C18AB" w14:paraId="746C86CA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76835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José Gustavo Sampaio Gontijo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58B9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***.655.221-**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95E53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26/09/2022 a </w:t>
            </w:r>
            <w:r w:rsidRPr="005A09EF">
              <w:rPr>
                <w:rFonts w:ascii="Tahoma" w:eastAsia="Calibri" w:hAnsi="Tahoma" w:cs="Tahoma"/>
                <w:sz w:val="18"/>
                <w:szCs w:val="18"/>
              </w:rPr>
              <w:t>22/06/2023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465A8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28.856,30</w:t>
            </w:r>
          </w:p>
        </w:tc>
      </w:tr>
      <w:tr w:rsidR="00967503" w:rsidRPr="007C18AB" w14:paraId="5EB58B3C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BEC65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Marcelo Gomes Meirelles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89FA7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***.436.046-**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1B605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 xml:space="preserve">23/08/2019 a </w:t>
            </w:r>
            <w:r w:rsidRPr="00FB5833">
              <w:rPr>
                <w:rFonts w:ascii="Tahoma" w:eastAsia="Calibri" w:hAnsi="Tahoma" w:cs="Tahoma"/>
                <w:sz w:val="18"/>
                <w:szCs w:val="18"/>
              </w:rPr>
              <w:t>23/04/2023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09AF5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20.947,02</w:t>
            </w:r>
          </w:p>
        </w:tc>
      </w:tr>
      <w:tr w:rsidR="00967503" w:rsidRPr="007C18AB" w14:paraId="39506663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B5BA7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Ana Cristina Rosado Carneiro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8143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***.516.137-**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CA09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26/09/2022 a 31/12/202</w:t>
            </w:r>
            <w:r>
              <w:rPr>
                <w:rFonts w:ascii="Tahoma" w:eastAsia="Calibri" w:hAnsi="Tahoma" w:cs="Tahoma"/>
                <w:sz w:val="18"/>
                <w:szCs w:val="18"/>
              </w:rPr>
              <w:t>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A223D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54.710,05</w:t>
            </w:r>
          </w:p>
        </w:tc>
      </w:tr>
      <w:tr w:rsidR="00967503" w:rsidRPr="007C18AB" w14:paraId="0A0F9B0B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4B0D7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Miguel Ragone de Mattos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10FE3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***.984.091-**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B1A88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29/04/2022 a 31/12/202</w:t>
            </w:r>
            <w:r>
              <w:rPr>
                <w:rFonts w:ascii="Tahoma" w:eastAsia="Calibri" w:hAnsi="Tahoma" w:cs="Tahoma"/>
                <w:sz w:val="18"/>
                <w:szCs w:val="18"/>
              </w:rPr>
              <w:t>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5AD8C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63.665,85</w:t>
            </w:r>
          </w:p>
        </w:tc>
      </w:tr>
      <w:tr w:rsidR="00967503" w:rsidRPr="007C18AB" w14:paraId="48A22404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BBDE8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Jussara Kele Araujo Valadares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116A5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418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286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E759C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01/11/2023 a 31/12/2023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72A7F5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11.164,10</w:t>
            </w:r>
          </w:p>
        </w:tc>
      </w:tr>
      <w:tr w:rsidR="00967503" w:rsidRPr="007C18AB" w14:paraId="5548DFB9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C8845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Luis Manuel Rebelo Fernandes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4783E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578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477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58656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24/03/2023 a 31/12/2023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0F8AB4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42.067,92</w:t>
            </w:r>
          </w:p>
        </w:tc>
      </w:tr>
      <w:tr w:rsidR="00967503" w:rsidRPr="007C18AB" w14:paraId="64734E7A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BAF38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Marcos Dantas Loureiro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DF094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782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087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43338F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30/06/2023 a 31/12/2023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DCDF6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28.442,22</w:t>
            </w:r>
          </w:p>
        </w:tc>
      </w:tr>
      <w:tr w:rsidR="00967503" w:rsidRPr="007C18AB" w14:paraId="746EEFA4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67EC1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 xml:space="preserve">Pedro Augusto Cunto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d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e Almeida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Machado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898330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658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257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A9072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24/04/2023 a 31/10/2023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42E3F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34.375,31</w:t>
            </w:r>
          </w:p>
        </w:tc>
      </w:tr>
      <w:tr w:rsidR="00967503" w:rsidRPr="007C18AB" w14:paraId="709942EF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EC4EBA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Rubens Diniz Tavares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9521FE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103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785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5E0BF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23/06/2023 a 31/12/2023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BC033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30.843,99</w:t>
            </w:r>
          </w:p>
        </w:tc>
      </w:tr>
      <w:tr w:rsidR="00967503" w:rsidRPr="007C18AB" w14:paraId="2A95FB86" w14:textId="77777777" w:rsidTr="001B5F12">
        <w:trPr>
          <w:trHeight w:val="259"/>
        </w:trPr>
        <w:tc>
          <w:tcPr>
            <w:tcW w:w="361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9C5EE" w14:textId="77777777" w:rsidR="00967503" w:rsidRPr="00FB5833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Sergio Machado Rezende</w:t>
            </w:r>
          </w:p>
        </w:tc>
        <w:tc>
          <w:tcPr>
            <w:tcW w:w="176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B2616" w14:textId="77777777" w:rsidR="00967503" w:rsidRPr="00FB5833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***.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390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FB5833">
              <w:rPr>
                <w:rFonts w:ascii="Tahoma" w:hAnsi="Tahoma" w:cs="Tahoma"/>
                <w:color w:val="000000"/>
                <w:sz w:val="18"/>
                <w:szCs w:val="18"/>
              </w:rPr>
              <w:t>467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-**</w:t>
            </w:r>
          </w:p>
        </w:tc>
        <w:tc>
          <w:tcPr>
            <w:tcW w:w="234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0DFAD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Calibri" w:hAnsi="Tahoma" w:cs="Tahoma"/>
                <w:color w:val="000000"/>
                <w:sz w:val="18"/>
                <w:szCs w:val="18"/>
              </w:rPr>
              <w:t>25/05/2023 a 31/12/2023</w:t>
            </w: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E1C6D8" w14:textId="77777777" w:rsidR="00967503" w:rsidRPr="00277D05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277D05">
              <w:rPr>
                <w:rFonts w:ascii="Tahoma" w:hAnsi="Tahoma" w:cs="Tahoma"/>
                <w:sz w:val="18"/>
                <w:szCs w:val="18"/>
              </w:rPr>
              <w:t>36.871,16</w:t>
            </w:r>
          </w:p>
        </w:tc>
      </w:tr>
    </w:tbl>
    <w:p w14:paraId="56DF2038" w14:textId="77777777" w:rsidR="00967503" w:rsidRPr="00A4510A" w:rsidRDefault="00967503" w:rsidP="00A4510A">
      <w:pPr>
        <w:spacing w:before="120" w:after="120" w:line="240" w:lineRule="auto"/>
        <w:rPr>
          <w:rFonts w:ascii="Tahoma" w:eastAsia="Calibri" w:hAnsi="Tahoma" w:cs="Tahoma"/>
          <w:sz w:val="18"/>
          <w:szCs w:val="18"/>
        </w:rPr>
      </w:pPr>
      <w:r w:rsidRPr="00A4510A">
        <w:rPr>
          <w:rFonts w:ascii="Tahoma" w:eastAsia="Calibri" w:hAnsi="Tahoma" w:cs="Tahoma"/>
          <w:sz w:val="18"/>
          <w:szCs w:val="18"/>
        </w:rPr>
        <w:t>Fonte: Área de Gestão de Pessoas (AGEP/Finep)</w:t>
      </w:r>
    </w:p>
    <w:p w14:paraId="686247A9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Notas Quadro 9:</w:t>
      </w:r>
    </w:p>
    <w:p w14:paraId="1D63FAEF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1 - A data inicial indica a data de posse no cargo, porém a remuneração informada foi aquela paga no exercício de 202</w:t>
      </w:r>
      <w:r>
        <w:rPr>
          <w:rFonts w:ascii="Tahoma" w:eastAsia="Calibri" w:hAnsi="Tahoma" w:cs="Tahoma"/>
          <w:sz w:val="16"/>
          <w:szCs w:val="16"/>
        </w:rPr>
        <w:t>3</w:t>
      </w:r>
      <w:r w:rsidRPr="007C18AB">
        <w:rPr>
          <w:rFonts w:ascii="Tahoma" w:eastAsia="Calibri" w:hAnsi="Tahoma" w:cs="Tahoma"/>
          <w:sz w:val="16"/>
          <w:szCs w:val="16"/>
        </w:rPr>
        <w:t>.</w:t>
      </w:r>
    </w:p>
    <w:p w14:paraId="1F9E62D1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2 - Inclui ajuda de custo.</w:t>
      </w:r>
    </w:p>
    <w:p w14:paraId="1A41A40D" w14:textId="77777777" w:rsidR="00967503" w:rsidRDefault="00967503" w:rsidP="00967503">
      <w:pPr>
        <w:suppressAutoHyphens/>
        <w:autoSpaceDN w:val="0"/>
        <w:spacing w:after="0" w:line="360" w:lineRule="auto"/>
        <w:jc w:val="both"/>
        <w:textAlignment w:val="baseline"/>
        <w:rPr>
          <w:rFonts w:ascii="Tahoma" w:eastAsia="Calibri" w:hAnsi="Tahoma" w:cs="Tahoma"/>
          <w:sz w:val="19"/>
          <w:szCs w:val="19"/>
        </w:rPr>
      </w:pPr>
    </w:p>
    <w:p w14:paraId="205E3D30" w14:textId="77777777" w:rsidR="00967503" w:rsidRPr="007C18AB" w:rsidRDefault="00967503" w:rsidP="00A4510A">
      <w:pPr>
        <w:spacing w:before="120" w:after="120" w:line="240" w:lineRule="auto"/>
        <w:rPr>
          <w:rFonts w:ascii="Tahoma" w:eastAsia="Calibri" w:hAnsi="Tahoma" w:cs="Tahoma"/>
          <w:i/>
          <w:sz w:val="19"/>
          <w:szCs w:val="19"/>
        </w:rPr>
      </w:pPr>
      <w:r w:rsidRPr="007C18AB">
        <w:rPr>
          <w:rFonts w:ascii="Tahoma" w:eastAsia="Calibri" w:hAnsi="Tahoma" w:cs="Tahoma"/>
          <w:i/>
          <w:sz w:val="19"/>
          <w:szCs w:val="19"/>
        </w:rPr>
        <w:t>Quadro 10 - Remuneração paga aos membros do Conselho Fiscal em 202</w:t>
      </w:r>
      <w:r>
        <w:rPr>
          <w:rFonts w:ascii="Tahoma" w:eastAsia="Calibri" w:hAnsi="Tahoma" w:cs="Tahoma"/>
          <w:i/>
          <w:sz w:val="19"/>
          <w:szCs w:val="19"/>
        </w:rPr>
        <w:t>3</w:t>
      </w:r>
      <w:r w:rsidRPr="007C18AB">
        <w:rPr>
          <w:rFonts w:ascii="Tahoma" w:eastAsia="Calibri" w:hAnsi="Tahoma" w:cs="Tahoma"/>
          <w:i/>
          <w:sz w:val="19"/>
          <w:szCs w:val="19"/>
        </w:rPr>
        <w:t xml:space="preserve"> (em R$)</w:t>
      </w:r>
    </w:p>
    <w:tbl>
      <w:tblPr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0"/>
        <w:gridCol w:w="1878"/>
        <w:gridCol w:w="2262"/>
        <w:gridCol w:w="1707"/>
      </w:tblGrid>
      <w:tr w:rsidR="00967503" w:rsidRPr="007C18AB" w14:paraId="1A1D93AB" w14:textId="77777777" w:rsidTr="00A4510A">
        <w:trPr>
          <w:trHeight w:val="340"/>
          <w:tblHeader/>
        </w:trPr>
        <w:tc>
          <w:tcPr>
            <w:tcW w:w="3220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E0BAA" w14:textId="77777777" w:rsidR="00967503" w:rsidRPr="007C18AB" w:rsidRDefault="00967503" w:rsidP="00A4510A">
            <w:pPr>
              <w:spacing w:after="0" w:line="240" w:lineRule="auto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1878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25F8F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CPF</w:t>
            </w:r>
          </w:p>
        </w:tc>
        <w:tc>
          <w:tcPr>
            <w:tcW w:w="2262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8D2E1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Período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1</w:t>
            </w:r>
          </w:p>
        </w:tc>
        <w:tc>
          <w:tcPr>
            <w:tcW w:w="1707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EEB17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Remuneração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2</w:t>
            </w:r>
          </w:p>
        </w:tc>
      </w:tr>
      <w:tr w:rsidR="00967503" w:rsidRPr="007C18AB" w14:paraId="036083B7" w14:textId="77777777" w:rsidTr="001B5F12">
        <w:trPr>
          <w:trHeight w:val="259"/>
        </w:trPr>
        <w:tc>
          <w:tcPr>
            <w:tcW w:w="32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6D771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Cristina Vidigal Cabral de Miranda</w:t>
            </w:r>
          </w:p>
        </w:tc>
        <w:tc>
          <w:tcPr>
            <w:tcW w:w="187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3FF77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***.185.176-**</w:t>
            </w:r>
          </w:p>
        </w:tc>
        <w:tc>
          <w:tcPr>
            <w:tcW w:w="226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C43FB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30/05/2017 a 31/12/202</w:t>
            </w:r>
            <w:r>
              <w:rPr>
                <w:rFonts w:ascii="Tahoma" w:eastAsia="Calibri" w:hAnsi="Tahoma" w:cs="Tahoma"/>
                <w:sz w:val="18"/>
                <w:szCs w:val="18"/>
              </w:rPr>
              <w:t>3</w:t>
            </w:r>
          </w:p>
        </w:tc>
        <w:tc>
          <w:tcPr>
            <w:tcW w:w="170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8E686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color w:val="000000"/>
                <w:sz w:val="18"/>
                <w:szCs w:val="18"/>
              </w:rPr>
              <w:t>67.354,30</w:t>
            </w:r>
          </w:p>
        </w:tc>
      </w:tr>
      <w:tr w:rsidR="00967503" w:rsidRPr="007C18AB" w14:paraId="6D80D685" w14:textId="77777777" w:rsidTr="001B5F12">
        <w:trPr>
          <w:trHeight w:val="259"/>
        </w:trPr>
        <w:tc>
          <w:tcPr>
            <w:tcW w:w="32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9BFA6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Gerson Nogueira Machado de Oliveira</w:t>
            </w:r>
          </w:p>
        </w:tc>
        <w:tc>
          <w:tcPr>
            <w:tcW w:w="187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2A17AD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***.511.178-**</w:t>
            </w:r>
          </w:p>
        </w:tc>
        <w:tc>
          <w:tcPr>
            <w:tcW w:w="226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B0F8E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07/04/2022 a 31/12/202</w:t>
            </w:r>
            <w:r>
              <w:rPr>
                <w:rFonts w:ascii="Tahoma" w:eastAsia="Calibri" w:hAnsi="Tahoma" w:cs="Tahoma"/>
                <w:sz w:val="18"/>
                <w:szCs w:val="18"/>
              </w:rPr>
              <w:t>3</w:t>
            </w:r>
          </w:p>
        </w:tc>
        <w:tc>
          <w:tcPr>
            <w:tcW w:w="170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08DE7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color w:val="000000"/>
                <w:sz w:val="18"/>
                <w:szCs w:val="18"/>
              </w:rPr>
              <w:t>54.384,60</w:t>
            </w:r>
          </w:p>
        </w:tc>
      </w:tr>
      <w:tr w:rsidR="00967503" w:rsidRPr="007C18AB" w14:paraId="3BDD6952" w14:textId="77777777" w:rsidTr="001B5F12">
        <w:trPr>
          <w:trHeight w:val="259"/>
        </w:trPr>
        <w:tc>
          <w:tcPr>
            <w:tcW w:w="32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B2930C" w14:textId="77777777" w:rsidR="00967503" w:rsidRPr="007C18AB" w:rsidRDefault="00967503" w:rsidP="00A4510A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Rodrigo Parente Vives</w:t>
            </w:r>
          </w:p>
        </w:tc>
        <w:tc>
          <w:tcPr>
            <w:tcW w:w="187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BFE80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***.124.371-**</w:t>
            </w:r>
          </w:p>
        </w:tc>
        <w:tc>
          <w:tcPr>
            <w:tcW w:w="226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56F59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7C18AB">
              <w:rPr>
                <w:rFonts w:ascii="Tahoma" w:eastAsia="Calibri" w:hAnsi="Tahoma" w:cs="Tahoma"/>
                <w:sz w:val="18"/>
                <w:szCs w:val="18"/>
              </w:rPr>
              <w:t>01/07/2022 a 31/12/202</w:t>
            </w:r>
            <w:r>
              <w:rPr>
                <w:rFonts w:ascii="Tahoma" w:eastAsia="Calibri" w:hAnsi="Tahoma" w:cs="Tahoma"/>
                <w:sz w:val="18"/>
                <w:szCs w:val="18"/>
              </w:rPr>
              <w:t>3</w:t>
            </w:r>
          </w:p>
        </w:tc>
        <w:tc>
          <w:tcPr>
            <w:tcW w:w="170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D7E26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color w:val="000000"/>
                <w:sz w:val="18"/>
                <w:szCs w:val="18"/>
              </w:rPr>
              <w:t>56.988,20</w:t>
            </w:r>
          </w:p>
        </w:tc>
      </w:tr>
    </w:tbl>
    <w:p w14:paraId="381E4FD2" w14:textId="77777777" w:rsidR="00967503" w:rsidRPr="00A4510A" w:rsidRDefault="00967503" w:rsidP="00A4510A">
      <w:pPr>
        <w:spacing w:before="120" w:after="120" w:line="240" w:lineRule="auto"/>
        <w:rPr>
          <w:rFonts w:ascii="Tahoma" w:eastAsia="Calibri" w:hAnsi="Tahoma" w:cs="Tahoma"/>
          <w:sz w:val="18"/>
          <w:szCs w:val="18"/>
        </w:rPr>
      </w:pPr>
      <w:r w:rsidRPr="00A4510A">
        <w:rPr>
          <w:rFonts w:ascii="Tahoma" w:eastAsia="Calibri" w:hAnsi="Tahoma" w:cs="Tahoma"/>
          <w:sz w:val="18"/>
          <w:szCs w:val="18"/>
        </w:rPr>
        <w:t>Fonte: Área de Gestão de Pessoas (AGEP/Finep)</w:t>
      </w:r>
    </w:p>
    <w:p w14:paraId="70C125C9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Notas Quadro 10:</w:t>
      </w:r>
    </w:p>
    <w:p w14:paraId="3CD38249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1 - A data inicial indica a data de posse no cargo, porém a remuneração informada foi aquela paga no exercício de 202</w:t>
      </w:r>
      <w:r>
        <w:rPr>
          <w:rFonts w:ascii="Tahoma" w:eastAsia="Calibri" w:hAnsi="Tahoma" w:cs="Tahoma"/>
          <w:sz w:val="16"/>
          <w:szCs w:val="16"/>
        </w:rPr>
        <w:t>3</w:t>
      </w:r>
      <w:r w:rsidRPr="007C18AB">
        <w:rPr>
          <w:rFonts w:ascii="Tahoma" w:eastAsia="Calibri" w:hAnsi="Tahoma" w:cs="Tahoma"/>
          <w:sz w:val="16"/>
          <w:szCs w:val="16"/>
        </w:rPr>
        <w:t>.</w:t>
      </w:r>
    </w:p>
    <w:p w14:paraId="193A0483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2 - Inclui ajuda de custo.</w:t>
      </w:r>
    </w:p>
    <w:p w14:paraId="61CBCED5" w14:textId="77777777" w:rsidR="00967503" w:rsidRPr="00764825" w:rsidRDefault="00967503" w:rsidP="00967503">
      <w:pPr>
        <w:rPr>
          <w:rFonts w:ascii="Tahoma" w:eastAsia="Calibri" w:hAnsi="Tahoma" w:cs="Tahoma"/>
          <w:iCs/>
          <w:sz w:val="19"/>
          <w:szCs w:val="19"/>
        </w:rPr>
      </w:pPr>
    </w:p>
    <w:p w14:paraId="62CAB8E3" w14:textId="77777777" w:rsidR="00967503" w:rsidRPr="007C18AB" w:rsidRDefault="00967503" w:rsidP="00764825">
      <w:pPr>
        <w:spacing w:before="120" w:after="120" w:line="240" w:lineRule="auto"/>
        <w:rPr>
          <w:rFonts w:ascii="Tahoma" w:eastAsia="Calibri" w:hAnsi="Tahoma" w:cs="Tahoma"/>
          <w:i/>
          <w:sz w:val="19"/>
          <w:szCs w:val="19"/>
        </w:rPr>
      </w:pPr>
      <w:r w:rsidRPr="007C18AB">
        <w:rPr>
          <w:rFonts w:ascii="Tahoma" w:eastAsia="Calibri" w:hAnsi="Tahoma" w:cs="Tahoma"/>
          <w:i/>
          <w:sz w:val="19"/>
          <w:szCs w:val="19"/>
        </w:rPr>
        <w:t>Quadro 11 - Remuneração paga aos membros do Comitê de Auditoria em 202</w:t>
      </w:r>
      <w:r>
        <w:rPr>
          <w:rFonts w:ascii="Tahoma" w:eastAsia="Calibri" w:hAnsi="Tahoma" w:cs="Tahoma"/>
          <w:i/>
          <w:sz w:val="19"/>
          <w:szCs w:val="19"/>
        </w:rPr>
        <w:t>3</w:t>
      </w:r>
      <w:r w:rsidRPr="007C18AB">
        <w:rPr>
          <w:rFonts w:ascii="Tahoma" w:eastAsia="Calibri" w:hAnsi="Tahoma" w:cs="Tahoma"/>
          <w:i/>
          <w:sz w:val="19"/>
          <w:szCs w:val="19"/>
        </w:rPr>
        <w:t xml:space="preserve"> (em R$)</w:t>
      </w:r>
    </w:p>
    <w:tbl>
      <w:tblPr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9"/>
        <w:gridCol w:w="1900"/>
        <w:gridCol w:w="2288"/>
        <w:gridCol w:w="1620"/>
      </w:tblGrid>
      <w:tr w:rsidR="00967503" w:rsidRPr="007C18AB" w14:paraId="532A46CC" w14:textId="77777777" w:rsidTr="001B5F12">
        <w:trPr>
          <w:trHeight w:val="254"/>
        </w:trPr>
        <w:tc>
          <w:tcPr>
            <w:tcW w:w="3259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3D1CE" w14:textId="77777777" w:rsidR="00967503" w:rsidRPr="007C18AB" w:rsidRDefault="00967503" w:rsidP="00764825">
            <w:pPr>
              <w:spacing w:after="0" w:line="240" w:lineRule="auto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1900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4908B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CPF</w:t>
            </w:r>
          </w:p>
        </w:tc>
        <w:tc>
          <w:tcPr>
            <w:tcW w:w="2288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A13FE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Período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1</w:t>
            </w:r>
          </w:p>
        </w:tc>
        <w:tc>
          <w:tcPr>
            <w:tcW w:w="1620" w:type="dxa"/>
            <w:shd w:val="clear" w:color="auto" w:fill="00505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DB58A" w14:textId="77777777" w:rsidR="00967503" w:rsidRPr="007C18AB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lang w:eastAsia="pt-BR"/>
              </w:rPr>
              <w:t>Remuneração</w:t>
            </w:r>
            <w:r w:rsidRPr="007C18AB">
              <w:rPr>
                <w:rFonts w:ascii="Tahoma" w:eastAsia="Times New Roman" w:hAnsi="Tahoma" w:cs="Tahoma"/>
                <w:bCs/>
                <w:color w:val="FFFFFF"/>
                <w:sz w:val="18"/>
                <w:szCs w:val="18"/>
                <w:vertAlign w:val="superscript"/>
                <w:lang w:eastAsia="pt-BR"/>
              </w:rPr>
              <w:t>2</w:t>
            </w:r>
          </w:p>
        </w:tc>
      </w:tr>
      <w:tr w:rsidR="00967503" w:rsidRPr="007C18AB" w14:paraId="07C0CB64" w14:textId="77777777" w:rsidTr="001B5F12">
        <w:trPr>
          <w:trHeight w:val="254"/>
        </w:trPr>
        <w:tc>
          <w:tcPr>
            <w:tcW w:w="325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AEDE2" w14:textId="77777777" w:rsidR="00967503" w:rsidRPr="00084C57" w:rsidRDefault="00967503" w:rsidP="007648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Pedro Paulo Alves de Brito</w:t>
            </w:r>
          </w:p>
        </w:tc>
        <w:tc>
          <w:tcPr>
            <w:tcW w:w="190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B4AE8D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***.268.947-**</w:t>
            </w:r>
          </w:p>
        </w:tc>
        <w:tc>
          <w:tcPr>
            <w:tcW w:w="228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91A95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30/07/2021 a 31/12/2023</w:t>
            </w:r>
          </w:p>
        </w:tc>
        <w:tc>
          <w:tcPr>
            <w:tcW w:w="16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DAB48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sz w:val="18"/>
                <w:szCs w:val="18"/>
              </w:rPr>
              <w:t>54.384,60</w:t>
            </w:r>
          </w:p>
        </w:tc>
      </w:tr>
      <w:tr w:rsidR="00967503" w:rsidRPr="007C18AB" w14:paraId="0F13049B" w14:textId="77777777" w:rsidTr="001B5F12">
        <w:trPr>
          <w:trHeight w:val="254"/>
        </w:trPr>
        <w:tc>
          <w:tcPr>
            <w:tcW w:w="325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773D4" w14:textId="77777777" w:rsidR="00967503" w:rsidRPr="00084C57" w:rsidRDefault="00967503" w:rsidP="007648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Valdir Augusto de Assunção</w:t>
            </w:r>
          </w:p>
        </w:tc>
        <w:tc>
          <w:tcPr>
            <w:tcW w:w="190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33DD7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***.066.958-**</w:t>
            </w:r>
          </w:p>
        </w:tc>
        <w:tc>
          <w:tcPr>
            <w:tcW w:w="228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8594B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09/06/2021 a 31/12/2023</w:t>
            </w:r>
          </w:p>
        </w:tc>
        <w:tc>
          <w:tcPr>
            <w:tcW w:w="16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E65336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sz w:val="18"/>
                <w:szCs w:val="18"/>
              </w:rPr>
              <w:t>54.385,20</w:t>
            </w:r>
          </w:p>
        </w:tc>
      </w:tr>
      <w:tr w:rsidR="00967503" w:rsidRPr="007C18AB" w14:paraId="3AAA431D" w14:textId="77777777" w:rsidTr="001B5F12">
        <w:trPr>
          <w:trHeight w:val="254"/>
        </w:trPr>
        <w:tc>
          <w:tcPr>
            <w:tcW w:w="325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45472" w14:textId="77777777" w:rsidR="00967503" w:rsidRPr="00084C57" w:rsidRDefault="00967503" w:rsidP="007648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Vera Lucia de Melo</w:t>
            </w:r>
          </w:p>
        </w:tc>
        <w:tc>
          <w:tcPr>
            <w:tcW w:w="190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884B7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***.210.406-**</w:t>
            </w:r>
          </w:p>
        </w:tc>
        <w:tc>
          <w:tcPr>
            <w:tcW w:w="228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81827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084C57">
              <w:rPr>
                <w:rFonts w:ascii="Tahoma" w:eastAsia="Calibri" w:hAnsi="Tahoma" w:cs="Tahoma"/>
                <w:sz w:val="18"/>
                <w:szCs w:val="18"/>
              </w:rPr>
              <w:t>09/08/2021 a 31/12/2023</w:t>
            </w:r>
          </w:p>
        </w:tc>
        <w:tc>
          <w:tcPr>
            <w:tcW w:w="16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36870" w14:textId="77777777" w:rsidR="00967503" w:rsidRPr="00084C57" w:rsidRDefault="00967503" w:rsidP="001B5F12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18"/>
                <w:szCs w:val="18"/>
              </w:rPr>
            </w:pPr>
            <w:r w:rsidRPr="00084C57">
              <w:rPr>
                <w:rFonts w:ascii="Tahoma" w:hAnsi="Tahoma" w:cs="Tahoma"/>
                <w:sz w:val="18"/>
                <w:szCs w:val="18"/>
              </w:rPr>
              <w:t>54.384,60</w:t>
            </w:r>
          </w:p>
        </w:tc>
      </w:tr>
    </w:tbl>
    <w:p w14:paraId="30DD92BE" w14:textId="77777777" w:rsidR="00967503" w:rsidRPr="00764825" w:rsidRDefault="00967503" w:rsidP="00764825">
      <w:pPr>
        <w:spacing w:before="120" w:after="120" w:line="240" w:lineRule="auto"/>
        <w:rPr>
          <w:rFonts w:ascii="Tahoma" w:eastAsia="Calibri" w:hAnsi="Tahoma" w:cs="Tahoma"/>
          <w:sz w:val="18"/>
          <w:szCs w:val="18"/>
        </w:rPr>
      </w:pPr>
      <w:r w:rsidRPr="00764825">
        <w:rPr>
          <w:rFonts w:ascii="Tahoma" w:eastAsia="Calibri" w:hAnsi="Tahoma" w:cs="Tahoma"/>
          <w:sz w:val="18"/>
          <w:szCs w:val="18"/>
        </w:rPr>
        <w:t>Fonte: Área de Gestão de Pessoas (AGEP/Finep)</w:t>
      </w:r>
    </w:p>
    <w:p w14:paraId="7CA575E0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Notas Quadro 11:</w:t>
      </w:r>
    </w:p>
    <w:p w14:paraId="72A81040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1 - A data inicial indica a data de posse no cargo, porém a remuneração informada foi aquela paga no exercício de 202</w:t>
      </w:r>
      <w:r>
        <w:rPr>
          <w:rFonts w:ascii="Tahoma" w:eastAsia="Calibri" w:hAnsi="Tahoma" w:cs="Tahoma"/>
          <w:sz w:val="16"/>
          <w:szCs w:val="16"/>
        </w:rPr>
        <w:t>3</w:t>
      </w:r>
      <w:r w:rsidRPr="007C18AB">
        <w:rPr>
          <w:rFonts w:ascii="Tahoma" w:eastAsia="Calibri" w:hAnsi="Tahoma" w:cs="Tahoma"/>
          <w:sz w:val="16"/>
          <w:szCs w:val="16"/>
        </w:rPr>
        <w:t>.</w:t>
      </w:r>
    </w:p>
    <w:p w14:paraId="34846D73" w14:textId="77777777" w:rsidR="00967503" w:rsidRPr="007C18AB" w:rsidRDefault="00967503" w:rsidP="00967503">
      <w:pPr>
        <w:spacing w:after="0" w:line="240" w:lineRule="auto"/>
        <w:rPr>
          <w:rFonts w:ascii="Tahoma" w:eastAsia="Calibri" w:hAnsi="Tahoma" w:cs="Tahoma"/>
          <w:sz w:val="16"/>
          <w:szCs w:val="16"/>
        </w:rPr>
      </w:pPr>
      <w:r w:rsidRPr="007C18AB">
        <w:rPr>
          <w:rFonts w:ascii="Tahoma" w:eastAsia="Calibri" w:hAnsi="Tahoma" w:cs="Tahoma"/>
          <w:sz w:val="16"/>
          <w:szCs w:val="16"/>
        </w:rPr>
        <w:t>2 - Inclui ajuda de custo.</w:t>
      </w:r>
    </w:p>
    <w:p w14:paraId="2543F4FA" w14:textId="5F34AE2E" w:rsidR="001E2234" w:rsidRPr="005A49B0" w:rsidRDefault="001E2234" w:rsidP="00967503">
      <w:pPr>
        <w:suppressAutoHyphens/>
        <w:autoSpaceDN w:val="0"/>
        <w:spacing w:before="120" w:after="120" w:line="360" w:lineRule="auto"/>
        <w:jc w:val="both"/>
        <w:textAlignment w:val="baseline"/>
        <w:rPr>
          <w:rFonts w:ascii="Tahoma" w:hAnsi="Tahoma" w:cs="Tahoma"/>
          <w:sz w:val="16"/>
          <w:szCs w:val="16"/>
        </w:rPr>
      </w:pPr>
    </w:p>
    <w:sectPr w:rsidR="001E2234" w:rsidRPr="005A49B0" w:rsidSect="00716131">
      <w:footerReference w:type="default" r:id="rId53"/>
      <w:pgSz w:w="11906" w:h="16838"/>
      <w:pgMar w:top="1440" w:right="991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2325B" w14:textId="77777777" w:rsidR="00716131" w:rsidRDefault="00716131" w:rsidP="006D35D6">
      <w:pPr>
        <w:spacing w:after="0" w:line="240" w:lineRule="auto"/>
      </w:pPr>
      <w:r>
        <w:separator/>
      </w:r>
    </w:p>
  </w:endnote>
  <w:endnote w:type="continuationSeparator" w:id="0">
    <w:p w14:paraId="053EEF66" w14:textId="77777777" w:rsidR="00716131" w:rsidRDefault="00716131" w:rsidP="006D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A768F" w14:textId="77777777" w:rsidR="00E77384" w:rsidRDefault="00E77384">
    <w:pPr>
      <w:pStyle w:val="Rodap"/>
      <w:jc w:val="right"/>
      <w:rPr>
        <w:rFonts w:ascii="Tahoma" w:hAnsi="Tahoma" w:cs="Tahoma"/>
        <w:sz w:val="16"/>
      </w:rPr>
    </w:pPr>
  </w:p>
  <w:p w14:paraId="08A32677" w14:textId="77777777" w:rsidR="00E77384" w:rsidRDefault="00E773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3137F" w14:textId="77777777" w:rsidR="00E77384" w:rsidRDefault="00E77384">
    <w:pPr>
      <w:pStyle w:val="Rodap"/>
      <w:jc w:val="right"/>
      <w:rPr>
        <w:rFonts w:ascii="Tahoma" w:hAnsi="Tahoma" w:cs="Tahoma"/>
        <w:sz w:val="16"/>
      </w:rPr>
    </w:pPr>
  </w:p>
  <w:p w14:paraId="320F9A85" w14:textId="77777777" w:rsidR="00E77384" w:rsidRDefault="00E7738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7891602"/>
      <w:docPartObj>
        <w:docPartGallery w:val="Page Numbers (Bottom of Page)"/>
        <w:docPartUnique/>
      </w:docPartObj>
    </w:sdtPr>
    <w:sdtEndPr/>
    <w:sdtContent>
      <w:p w14:paraId="0D9776F5" w14:textId="77777777" w:rsidR="00E77384" w:rsidRDefault="00E77384">
        <w:pPr>
          <w:pStyle w:val="Rodap"/>
          <w:jc w:val="right"/>
        </w:pPr>
        <w:r w:rsidRPr="003145F2">
          <w:rPr>
            <w:rFonts w:ascii="Tahoma" w:hAnsi="Tahoma" w:cs="Tahoma"/>
            <w:sz w:val="19"/>
            <w:szCs w:val="19"/>
          </w:rPr>
          <w:fldChar w:fldCharType="begin"/>
        </w:r>
        <w:r w:rsidRPr="003145F2">
          <w:rPr>
            <w:rFonts w:ascii="Tahoma" w:hAnsi="Tahoma" w:cs="Tahoma"/>
            <w:sz w:val="19"/>
            <w:szCs w:val="19"/>
          </w:rPr>
          <w:instrText>PAGE   \* MERGEFORMAT</w:instrText>
        </w:r>
        <w:r w:rsidRPr="003145F2">
          <w:rPr>
            <w:rFonts w:ascii="Tahoma" w:hAnsi="Tahoma" w:cs="Tahoma"/>
            <w:sz w:val="19"/>
            <w:szCs w:val="19"/>
          </w:rPr>
          <w:fldChar w:fldCharType="separate"/>
        </w:r>
        <w:r w:rsidR="00A56DAC">
          <w:rPr>
            <w:rFonts w:ascii="Tahoma" w:hAnsi="Tahoma" w:cs="Tahoma"/>
            <w:sz w:val="19"/>
            <w:szCs w:val="19"/>
          </w:rPr>
          <w:t>11</w:t>
        </w:r>
        <w:r w:rsidRPr="003145F2">
          <w:rPr>
            <w:rFonts w:ascii="Tahoma" w:hAnsi="Tahoma" w:cs="Tahoma"/>
            <w:sz w:val="19"/>
            <w:szCs w:val="19"/>
          </w:rPr>
          <w:fldChar w:fldCharType="end"/>
        </w:r>
      </w:p>
    </w:sdtContent>
  </w:sdt>
  <w:p w14:paraId="06BB3AC6" w14:textId="77777777" w:rsidR="00E77384" w:rsidRDefault="00E773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16984" w14:textId="77777777" w:rsidR="00716131" w:rsidRDefault="00716131" w:rsidP="006D35D6">
      <w:pPr>
        <w:spacing w:after="0" w:line="240" w:lineRule="auto"/>
      </w:pPr>
      <w:r>
        <w:separator/>
      </w:r>
    </w:p>
  </w:footnote>
  <w:footnote w:type="continuationSeparator" w:id="0">
    <w:p w14:paraId="28D4590E" w14:textId="77777777" w:rsidR="00716131" w:rsidRDefault="00716131" w:rsidP="006D35D6">
      <w:pPr>
        <w:spacing w:after="0" w:line="240" w:lineRule="auto"/>
      </w:pPr>
      <w:r>
        <w:continuationSeparator/>
      </w:r>
    </w:p>
  </w:footnote>
  <w:footnote w:id="1">
    <w:p w14:paraId="638F53BD" w14:textId="0C358BA1" w:rsidR="00BB1CE3" w:rsidRDefault="00BB1CE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BB1CE3">
        <w:t>Decreto nº 11.401, de 23/01/2023</w:t>
      </w:r>
      <w:r>
        <w:t xml:space="preserve"> (</w:t>
      </w:r>
      <w:hyperlink r:id="rId1" w:history="1">
        <w:r w:rsidRPr="007D2AC7">
          <w:rPr>
            <w:rStyle w:val="Hyperlink"/>
          </w:rPr>
          <w:t>http://www.planalto.gov.br/ccivil_03/_ato2023-2026/2023/decreto/D11401.htm</w:t>
        </w:r>
      </w:hyperlink>
      <w:r>
        <w:t>).</w:t>
      </w:r>
    </w:p>
  </w:footnote>
  <w:footnote w:id="2">
    <w:p w14:paraId="24FBB0FF" w14:textId="3810AE52" w:rsidR="006D1422" w:rsidRDefault="006D1422" w:rsidP="006D142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A640A">
        <w:t xml:space="preserve">O Sistema Nacional de Fomento (SNF) congrega os bancos públicos federais, bancos públicos comerciais com carteiras de desenvolvimento, bancos de desenvolvimento controlados por Unidades da Federação, agências de fomento, bancos cooperativos e o Sebrae, além da própria Finep. </w:t>
      </w:r>
      <w:hyperlink r:id="rId2" w:history="1">
        <w:r w:rsidRPr="00B62334">
          <w:rPr>
            <w:rStyle w:val="Hyperlink"/>
          </w:rPr>
          <w:t>https://abde.org.br/sistema-nacional-de-fomento/</w:t>
        </w:r>
      </w:hyperlink>
    </w:p>
  </w:footnote>
  <w:footnote w:id="3">
    <w:p w14:paraId="416ED718" w14:textId="77777777" w:rsidR="00DF0DC2" w:rsidRDefault="00DF0DC2" w:rsidP="00DF0DC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3" w:history="1">
        <w:r w:rsidRPr="00851092">
          <w:rPr>
            <w:rStyle w:val="Hyperlink"/>
          </w:rPr>
          <w:t>https://www.planalto.gov.br/ccivil_03/decreto/1970-1979/D71133.htm</w:t>
        </w:r>
      </w:hyperlink>
      <w:r>
        <w:t>.</w:t>
      </w:r>
    </w:p>
  </w:footnote>
  <w:footnote w:id="4">
    <w:p w14:paraId="01C9E6C5" w14:textId="5A417F6E" w:rsidR="00E77384" w:rsidRDefault="00E77384">
      <w:pPr>
        <w:pStyle w:val="Textodenotaderodap"/>
      </w:pPr>
      <w:r>
        <w:rPr>
          <w:rStyle w:val="Refdenotaderodap"/>
        </w:rPr>
        <w:footnoteRef/>
      </w:r>
      <w:r>
        <w:t xml:space="preserve"> O SNCTI é mencionado no artigo 219-B da Constituição Federal de 1988 e foi </w:t>
      </w:r>
      <w:r w:rsidRPr="005C50CB">
        <w:t>descrito na Estratégia Nacional de Ciência, Tecnologia e Inovação 2016-2022</w:t>
      </w:r>
      <w:r>
        <w:t>, p. 13-18.</w:t>
      </w:r>
    </w:p>
  </w:footnote>
  <w:footnote w:id="5">
    <w:p w14:paraId="70BCF228" w14:textId="01A28C1F" w:rsidR="00C57F63" w:rsidRDefault="00C57F63">
      <w:pPr>
        <w:pStyle w:val="Textodenotaderodap"/>
      </w:pPr>
      <w:r>
        <w:rPr>
          <w:rStyle w:val="Refdenotaderodap"/>
        </w:rPr>
        <w:footnoteRef/>
      </w:r>
      <w:r>
        <w:t xml:space="preserve"> Ver ‘Perfil de Atuação’ em </w:t>
      </w:r>
      <w:hyperlink r:id="rId4" w:history="1">
        <w:r w:rsidRPr="007D2AC7">
          <w:rPr>
            <w:rStyle w:val="Hyperlink"/>
          </w:rPr>
          <w:t>http://www.finep.gov.br/a-finep-externo/sobre-a-finep</w:t>
        </w:r>
      </w:hyperlink>
      <w:r>
        <w:t>.</w:t>
      </w:r>
    </w:p>
  </w:footnote>
  <w:footnote w:id="6">
    <w:p w14:paraId="2D864C4E" w14:textId="671E0A47" w:rsidR="00603AAB" w:rsidRDefault="00603AA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325A28">
        <w:t>“</w:t>
      </w:r>
      <w:r w:rsidRPr="00603AAB">
        <w:t>Instituição Científica, Tecnológica e de Inovação (ICT): órgão ou entidade da administração pública direta ou indireta ou pessoa jurídica de direito privado sem fins lucrativos legalmente constituída sob as leis brasileiras, com sede e foro no País, que inclua em sua missão institucional ou em seu objetivo social ou estatutário a pesquisa básica ou aplicada de caráter científico ou tecnológico ou o desenvolvimento de novos produtos, serviços ou processos;</w:t>
      </w:r>
      <w:r w:rsidR="00F37C65">
        <w:t>”</w:t>
      </w:r>
      <w:r w:rsidRPr="00603AAB">
        <w:t xml:space="preserve"> (</w:t>
      </w:r>
      <w:r w:rsidR="00325A28">
        <w:t xml:space="preserve">inciso V, art. 2º da Lei da Inovação, alterado pela </w:t>
      </w:r>
      <w:r w:rsidR="00325A28" w:rsidRPr="00603AAB">
        <w:t>Lei nº 13.243, de 2016</w:t>
      </w:r>
      <w:r w:rsidR="00F37C65">
        <w:t xml:space="preserve"> - </w:t>
      </w:r>
      <w:r w:rsidR="00325A28">
        <w:t>Marco Legal da CT&amp;I).</w:t>
      </w:r>
    </w:p>
  </w:footnote>
  <w:footnote w:id="7">
    <w:p w14:paraId="789CA04D" w14:textId="33F62BD4" w:rsidR="002556B0" w:rsidRDefault="002556B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6B43FC">
        <w:t xml:space="preserve">Artigos 7º e 8º da </w:t>
      </w:r>
      <w:r w:rsidRPr="002556B0">
        <w:t>L</w:t>
      </w:r>
      <w:r>
        <w:t>ei n</w:t>
      </w:r>
      <w:r w:rsidRPr="002556B0">
        <w:t xml:space="preserve">º 11.540, </w:t>
      </w:r>
      <w:r w:rsidR="006B43FC">
        <w:t>de</w:t>
      </w:r>
      <w:r w:rsidRPr="002556B0">
        <w:t xml:space="preserve"> 12</w:t>
      </w:r>
      <w:r w:rsidR="006B43FC">
        <w:t>/11/</w:t>
      </w:r>
      <w:r w:rsidRPr="002556B0">
        <w:t xml:space="preserve">2007. </w:t>
      </w:r>
      <w:hyperlink r:id="rId5" w:history="1">
        <w:r w:rsidRPr="00851092">
          <w:rPr>
            <w:rStyle w:val="Hyperlink"/>
          </w:rPr>
          <w:t>https://www.planalto.gov.br/ccivil_03/_ato2007-2010/2007/lei/l11540.htm</w:t>
        </w:r>
      </w:hyperlink>
      <w:r w:rsidR="006B43FC">
        <w:t>.</w:t>
      </w:r>
    </w:p>
  </w:footnote>
  <w:footnote w:id="8">
    <w:p w14:paraId="460EFE25" w14:textId="1EA70D59" w:rsidR="00E77384" w:rsidRDefault="00E7738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6" w:history="1">
        <w:r w:rsidRPr="00BB2ECD">
          <w:rPr>
            <w:rStyle w:val="Hyperlink"/>
          </w:rPr>
          <w:t>http://www.finep.gov.br/images/a-finep/Condicoes_Operacionais/CondicoesOperacionais.pdf</w:t>
        </w:r>
      </w:hyperlink>
      <w:r>
        <w:t>.</w:t>
      </w:r>
    </w:p>
  </w:footnote>
  <w:footnote w:id="9">
    <w:p w14:paraId="6CAD9ED1" w14:textId="77777777" w:rsidR="00F95669" w:rsidRDefault="009E1308">
      <w:pPr>
        <w:pStyle w:val="Textodenotaderodap"/>
      </w:pPr>
      <w:r>
        <w:rPr>
          <w:rStyle w:val="Refdenotaderodap"/>
        </w:rPr>
        <w:footnoteRef/>
      </w:r>
      <w:r>
        <w:t xml:space="preserve"> A </w:t>
      </w:r>
      <w:r w:rsidRPr="009E1308">
        <w:t>Portaria MCTI nº 6.998/2023</w:t>
      </w:r>
      <w:r>
        <w:t xml:space="preserve"> (</w:t>
      </w:r>
      <w:hyperlink r:id="rId7" w:history="1">
        <w:r w:rsidRPr="00851092">
          <w:rPr>
            <w:rStyle w:val="Hyperlink"/>
          </w:rPr>
          <w:t>https://antigo.mctic.gov.br/mctic/opencms/legislacao/portarias/Portaria_MCTI_n_6998_de_10052023.html</w:t>
        </w:r>
      </w:hyperlink>
      <w:r>
        <w:t xml:space="preserve">) </w:t>
      </w:r>
      <w:r w:rsidRPr="009E1308">
        <w:t>estabelece</w:t>
      </w:r>
      <w:r>
        <w:t>u</w:t>
      </w:r>
      <w:r w:rsidRPr="009E1308">
        <w:t xml:space="preserve"> as diretrizes para a elaboração da Estratégia Nacional de Ciência, Tecnologia e Inovação para o período de 2024 a 2030.</w:t>
      </w:r>
    </w:p>
    <w:p w14:paraId="7677A2B0" w14:textId="41BF8DBF" w:rsidR="009E1308" w:rsidRDefault="00CC75C5">
      <w:pPr>
        <w:pStyle w:val="Textodenotaderodap"/>
      </w:pPr>
      <w:r>
        <w:t xml:space="preserve">A </w:t>
      </w:r>
      <w:r w:rsidRPr="00CC75C5">
        <w:t>5ª Conferência Nacional de Ciência Tecnologia e Inovação (5ª CNCTI)</w:t>
      </w:r>
      <w:r>
        <w:t xml:space="preserve"> terá como </w:t>
      </w:r>
      <w:r w:rsidRPr="00CC75C5">
        <w:t>objetivo analisar os programas, planos e resultados da ENCTI 2016-2023, para propor recomendações para a elaboração da ENCTI 2024-2030</w:t>
      </w:r>
      <w:r w:rsidR="00F95669">
        <w:t xml:space="preserve"> (</w:t>
      </w:r>
      <w:hyperlink r:id="rId8" w:history="1">
        <w:r w:rsidR="00F95669" w:rsidRPr="00851092">
          <w:rPr>
            <w:rStyle w:val="Hyperlink"/>
          </w:rPr>
          <w:t>https://5cncti.org.br/conferencia-nacional/</w:t>
        </w:r>
      </w:hyperlink>
      <w:r w:rsidR="00F95669">
        <w:t>)</w:t>
      </w:r>
      <w:r>
        <w:t>.</w:t>
      </w:r>
    </w:p>
  </w:footnote>
  <w:footnote w:id="10">
    <w:p w14:paraId="35FD5321" w14:textId="63830C37" w:rsidR="007A7379" w:rsidRDefault="007A737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A7379">
        <w:t>O Plano Anual de Investimentos do FNDCT é publicado anualmente em dois documentos: um voltado para o estabelecimento das diretrizes a serem seguidas na alocação dos recursos não reembolsáveis do Fundo e o segundo contempla as diretrizes para aplicação dos recursos reembolsáveis do FNDCT, concedidos à Finep através de empréstimo.</w:t>
      </w:r>
    </w:p>
  </w:footnote>
  <w:footnote w:id="11">
    <w:p w14:paraId="1ABB00E1" w14:textId="64D6C221" w:rsidR="007A7379" w:rsidRDefault="007A7379">
      <w:pPr>
        <w:pStyle w:val="Textodenotaderodap"/>
      </w:pPr>
      <w:r>
        <w:rPr>
          <w:rStyle w:val="Refdenotaderodap"/>
        </w:rPr>
        <w:footnoteRef/>
      </w:r>
      <w:r>
        <w:t xml:space="preserve"> As </w:t>
      </w:r>
      <w:r w:rsidRPr="007A7379">
        <w:t xml:space="preserve">metas aspiracionais da nova política industrial </w:t>
      </w:r>
      <w:r>
        <w:t xml:space="preserve">foram propostas </w:t>
      </w:r>
      <w:r w:rsidRPr="007A7379">
        <w:t>no documento Plano de Ação para a Neoindustrialização 2024-2026</w:t>
      </w:r>
      <w:r w:rsidR="00AF59CD">
        <w:t xml:space="preserve"> (</w:t>
      </w:r>
      <w:hyperlink r:id="rId9" w:history="1">
        <w:r w:rsidR="00AF59CD" w:rsidRPr="00851092">
          <w:rPr>
            <w:rStyle w:val="Hyperlink"/>
          </w:rPr>
          <w:t>https://www.gov.br/mdic/pt-br/composicao/se/cndi/plano-de-acao/nova-industria-brasil-plano-de-acao.pdf</w:t>
        </w:r>
      </w:hyperlink>
      <w:r w:rsidR="00AF59CD">
        <w:t>)</w:t>
      </w:r>
      <w:r w:rsidRPr="007A7379">
        <w:t>, aprovado pela Resolução CNDI/MDIC nº 4, de 22</w:t>
      </w:r>
      <w:r w:rsidR="00AF59CD">
        <w:t>/01/</w:t>
      </w:r>
      <w:r w:rsidRPr="007A7379">
        <w:t>2024</w:t>
      </w:r>
      <w:r w:rsidR="00AF59CD">
        <w:t>.</w:t>
      </w:r>
    </w:p>
  </w:footnote>
  <w:footnote w:id="12">
    <w:p w14:paraId="1AD13150" w14:textId="77777777" w:rsidR="00E77384" w:rsidRDefault="00E77384" w:rsidP="00657D31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Há previsão para utilização de recursos reembolsáveis do FUNTTEL nas operações de investimento da Finep realizadas através do FIP Inova Empresa e no Programa Finep Startup.</w:t>
      </w:r>
    </w:p>
  </w:footnote>
  <w:footnote w:id="13">
    <w:p w14:paraId="4B68EB2D" w14:textId="77777777" w:rsidR="00F65BD9" w:rsidRDefault="00F65BD9" w:rsidP="00F65BD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245FF2">
        <w:t>Esses recursos não são contabilizados como recursos da empresa Finep</w:t>
      </w:r>
      <w:r>
        <w:t>.</w:t>
      </w:r>
    </w:p>
  </w:footnote>
  <w:footnote w:id="14">
    <w:p w14:paraId="0535E67D" w14:textId="71B13107" w:rsidR="00E77384" w:rsidRDefault="00E77384">
      <w:pPr>
        <w:pStyle w:val="Textodenotaderodap"/>
      </w:pPr>
      <w:r>
        <w:rPr>
          <w:rStyle w:val="Refdenotaderodap"/>
        </w:rPr>
        <w:footnoteRef/>
      </w:r>
      <w:r>
        <w:t xml:space="preserve"> Como a</w:t>
      </w:r>
      <w:r w:rsidRPr="0087688D">
        <w:t>gência de fomento à CT&amp;I</w:t>
      </w:r>
      <w:r>
        <w:t xml:space="preserve"> e como</w:t>
      </w:r>
      <w:r w:rsidRPr="0087688D">
        <w:t xml:space="preserve"> Gestora e agente financeiro de recursos de </w:t>
      </w:r>
      <w:r>
        <w:t>terceiros.</w:t>
      </w:r>
    </w:p>
  </w:footnote>
  <w:footnote w:id="15">
    <w:p w14:paraId="7167AB4B" w14:textId="6A3840C9" w:rsidR="00E77384" w:rsidRDefault="00E77384">
      <w:pPr>
        <w:pStyle w:val="Textodenotaderodap"/>
      </w:pPr>
      <w:r>
        <w:rPr>
          <w:rStyle w:val="Refdenotaderodap"/>
        </w:rPr>
        <w:footnoteRef/>
      </w:r>
      <w:r>
        <w:t xml:space="preserve"> Os indicadores e metas d</w:t>
      </w:r>
      <w:r w:rsidRPr="00105DEB">
        <w:t>o Programa de Remuneração Variável dos dirigentes (RVA) 202</w:t>
      </w:r>
      <w:r w:rsidR="00380C4E">
        <w:t>3</w:t>
      </w:r>
      <w:r w:rsidRPr="00105DEB">
        <w:t xml:space="preserve"> fazem parte do conjunto de indicadores estratégicos da Finep</w:t>
      </w:r>
      <w:r>
        <w:t>, cuja análise</w:t>
      </w:r>
      <w:r w:rsidRPr="00105DEB">
        <w:t xml:space="preserve"> foi apresentada no item 1.6 Comentários dos administradores (Análise da execução da Estratégia e Plano de Negócios 202</w:t>
      </w:r>
      <w:r w:rsidR="00380C4E">
        <w:t>3</w:t>
      </w:r>
      <w:r w:rsidRPr="00105DEB"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B9F6D" w14:textId="4862BB9E" w:rsidR="00E77384" w:rsidRDefault="00E77384" w:rsidP="003079A7">
    <w:pPr>
      <w:pStyle w:val="Cabealho"/>
      <w:jc w:val="right"/>
    </w:pPr>
  </w:p>
  <w:p w14:paraId="75A33755" w14:textId="77777777" w:rsidR="00E77384" w:rsidRDefault="00E77384" w:rsidP="003079A7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DD851" w14:textId="77777777" w:rsidR="00E77384" w:rsidRDefault="00E77384" w:rsidP="003079A7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60EC6784" wp14:editId="684C0B84">
          <wp:extent cx="3717925" cy="550545"/>
          <wp:effectExtent l="0" t="0" r="0" b="1905"/>
          <wp:docPr id="4" name="Imagem 4" descr="For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Picture 180" descr="Forma&#10;&#10;Descrição gerada automaticamente com confiança média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7925" cy="550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608574" w14:textId="77777777" w:rsidR="00E77384" w:rsidRDefault="00E77384" w:rsidP="003079A7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1611"/>
    <w:multiLevelType w:val="hybridMultilevel"/>
    <w:tmpl w:val="5252A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64968">
      <w:numFmt w:val="bullet"/>
      <w:lvlText w:val="•"/>
      <w:lvlJc w:val="left"/>
      <w:pPr>
        <w:ind w:left="1785" w:hanging="705"/>
      </w:pPr>
      <w:rPr>
        <w:rFonts w:ascii="Tahoma" w:eastAsia="Calibri" w:hAnsi="Tahoma" w:cs="Tahom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5290"/>
    <w:multiLevelType w:val="hybridMultilevel"/>
    <w:tmpl w:val="70C8172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B585377"/>
    <w:multiLevelType w:val="hybridMultilevel"/>
    <w:tmpl w:val="228A94C0"/>
    <w:lvl w:ilvl="0" w:tplc="CAA4B298">
      <w:start w:val="1"/>
      <w:numFmt w:val="lowerRoman"/>
      <w:lvlText w:val="(%1)"/>
      <w:lvlJc w:val="left"/>
      <w:pPr>
        <w:ind w:left="150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3" w:hanging="360"/>
      </w:pPr>
    </w:lvl>
    <w:lvl w:ilvl="2" w:tplc="0416001B" w:tentative="1">
      <w:start w:val="1"/>
      <w:numFmt w:val="lowerRoman"/>
      <w:lvlText w:val="%3."/>
      <w:lvlJc w:val="right"/>
      <w:pPr>
        <w:ind w:left="2583" w:hanging="180"/>
      </w:pPr>
    </w:lvl>
    <w:lvl w:ilvl="3" w:tplc="0416000F" w:tentative="1">
      <w:start w:val="1"/>
      <w:numFmt w:val="decimal"/>
      <w:lvlText w:val="%4."/>
      <w:lvlJc w:val="left"/>
      <w:pPr>
        <w:ind w:left="3303" w:hanging="360"/>
      </w:pPr>
    </w:lvl>
    <w:lvl w:ilvl="4" w:tplc="04160019" w:tentative="1">
      <w:start w:val="1"/>
      <w:numFmt w:val="lowerLetter"/>
      <w:lvlText w:val="%5."/>
      <w:lvlJc w:val="left"/>
      <w:pPr>
        <w:ind w:left="4023" w:hanging="360"/>
      </w:pPr>
    </w:lvl>
    <w:lvl w:ilvl="5" w:tplc="0416001B" w:tentative="1">
      <w:start w:val="1"/>
      <w:numFmt w:val="lowerRoman"/>
      <w:lvlText w:val="%6."/>
      <w:lvlJc w:val="right"/>
      <w:pPr>
        <w:ind w:left="4743" w:hanging="180"/>
      </w:pPr>
    </w:lvl>
    <w:lvl w:ilvl="6" w:tplc="0416000F" w:tentative="1">
      <w:start w:val="1"/>
      <w:numFmt w:val="decimal"/>
      <w:lvlText w:val="%7."/>
      <w:lvlJc w:val="left"/>
      <w:pPr>
        <w:ind w:left="5463" w:hanging="360"/>
      </w:pPr>
    </w:lvl>
    <w:lvl w:ilvl="7" w:tplc="04160019" w:tentative="1">
      <w:start w:val="1"/>
      <w:numFmt w:val="lowerLetter"/>
      <w:lvlText w:val="%8."/>
      <w:lvlJc w:val="left"/>
      <w:pPr>
        <w:ind w:left="6183" w:hanging="360"/>
      </w:pPr>
    </w:lvl>
    <w:lvl w:ilvl="8" w:tplc="0416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" w15:restartNumberingAfterBreak="0">
    <w:nsid w:val="0C90345B"/>
    <w:multiLevelType w:val="hybridMultilevel"/>
    <w:tmpl w:val="9016105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34F7D0B"/>
    <w:multiLevelType w:val="hybridMultilevel"/>
    <w:tmpl w:val="D91ED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6A5F"/>
    <w:multiLevelType w:val="hybridMultilevel"/>
    <w:tmpl w:val="2438D2DC"/>
    <w:lvl w:ilvl="0" w:tplc="3F6ED4B6">
      <w:numFmt w:val="bullet"/>
      <w:lvlText w:val="•"/>
      <w:lvlJc w:val="left"/>
      <w:pPr>
        <w:ind w:left="1065" w:hanging="705"/>
      </w:pPr>
      <w:rPr>
        <w:rFonts w:ascii="Tahoma" w:eastAsia="Times New Roman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F492D"/>
    <w:multiLevelType w:val="hybridMultilevel"/>
    <w:tmpl w:val="0472F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24F3"/>
    <w:multiLevelType w:val="hybridMultilevel"/>
    <w:tmpl w:val="650AC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23F31"/>
    <w:multiLevelType w:val="hybridMultilevel"/>
    <w:tmpl w:val="424837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E6AAB"/>
    <w:multiLevelType w:val="multilevel"/>
    <w:tmpl w:val="D3C6F32A"/>
    <w:styleLink w:val="LFO4"/>
    <w:lvl w:ilvl="0">
      <w:numFmt w:val="bullet"/>
      <w:pStyle w:val="corpocomidentao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7FE7CFC"/>
    <w:multiLevelType w:val="hybridMultilevel"/>
    <w:tmpl w:val="5E6603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5DE1"/>
    <w:multiLevelType w:val="hybridMultilevel"/>
    <w:tmpl w:val="737CC0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51190"/>
    <w:multiLevelType w:val="multilevel"/>
    <w:tmpl w:val="3EBAD4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auto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FE3588D"/>
    <w:multiLevelType w:val="hybridMultilevel"/>
    <w:tmpl w:val="CC5C8E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C491C"/>
    <w:multiLevelType w:val="hybridMultilevel"/>
    <w:tmpl w:val="A1A014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C3790"/>
    <w:multiLevelType w:val="hybridMultilevel"/>
    <w:tmpl w:val="C504E0FC"/>
    <w:lvl w:ilvl="0" w:tplc="E4AE97EA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607ADC"/>
    <w:multiLevelType w:val="hybridMultilevel"/>
    <w:tmpl w:val="C11CD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C5C8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056BA2"/>
    <w:multiLevelType w:val="hybridMultilevel"/>
    <w:tmpl w:val="FD02E4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92CF7"/>
    <w:multiLevelType w:val="hybridMultilevel"/>
    <w:tmpl w:val="CE181232"/>
    <w:lvl w:ilvl="0" w:tplc="5B0C3A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B2153"/>
    <w:multiLevelType w:val="hybridMultilevel"/>
    <w:tmpl w:val="2E7E1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D3F49"/>
    <w:multiLevelType w:val="hybridMultilevel"/>
    <w:tmpl w:val="28D27976"/>
    <w:lvl w:ilvl="0" w:tplc="CAA4B29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351FF"/>
    <w:multiLevelType w:val="hybridMultilevel"/>
    <w:tmpl w:val="5C0A4A66"/>
    <w:lvl w:ilvl="0" w:tplc="B1BAB3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A6B0A"/>
    <w:multiLevelType w:val="hybridMultilevel"/>
    <w:tmpl w:val="479EF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658BB"/>
    <w:multiLevelType w:val="hybridMultilevel"/>
    <w:tmpl w:val="98C09472"/>
    <w:lvl w:ilvl="0" w:tplc="C812DB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153E1E"/>
    <w:multiLevelType w:val="hybridMultilevel"/>
    <w:tmpl w:val="7A1A99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F071B"/>
    <w:multiLevelType w:val="multilevel"/>
    <w:tmpl w:val="A86E0AD4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46331320">
    <w:abstractNumId w:val="9"/>
  </w:num>
  <w:num w:numId="2" w16cid:durableId="1787432010">
    <w:abstractNumId w:val="12"/>
  </w:num>
  <w:num w:numId="3" w16cid:durableId="1801609814">
    <w:abstractNumId w:val="15"/>
  </w:num>
  <w:num w:numId="4" w16cid:durableId="1661542325">
    <w:abstractNumId w:val="8"/>
  </w:num>
  <w:num w:numId="5" w16cid:durableId="2064403624">
    <w:abstractNumId w:val="25"/>
  </w:num>
  <w:num w:numId="6" w16cid:durableId="991251476">
    <w:abstractNumId w:val="17"/>
  </w:num>
  <w:num w:numId="7" w16cid:durableId="1994141702">
    <w:abstractNumId w:val="20"/>
  </w:num>
  <w:num w:numId="8" w16cid:durableId="1369603763">
    <w:abstractNumId w:val="14"/>
  </w:num>
  <w:num w:numId="9" w16cid:durableId="1153564973">
    <w:abstractNumId w:val="10"/>
  </w:num>
  <w:num w:numId="10" w16cid:durableId="1958370192">
    <w:abstractNumId w:val="13"/>
  </w:num>
  <w:num w:numId="11" w16cid:durableId="282418111">
    <w:abstractNumId w:val="2"/>
  </w:num>
  <w:num w:numId="12" w16cid:durableId="924609594">
    <w:abstractNumId w:val="16"/>
  </w:num>
  <w:num w:numId="13" w16cid:durableId="658265566">
    <w:abstractNumId w:val="0"/>
  </w:num>
  <w:num w:numId="14" w16cid:durableId="1186556285">
    <w:abstractNumId w:val="7"/>
  </w:num>
  <w:num w:numId="15" w16cid:durableId="420756650">
    <w:abstractNumId w:val="18"/>
  </w:num>
  <w:num w:numId="16" w16cid:durableId="1938950064">
    <w:abstractNumId w:val="5"/>
  </w:num>
  <w:num w:numId="17" w16cid:durableId="2109110069">
    <w:abstractNumId w:val="1"/>
  </w:num>
  <w:num w:numId="18" w16cid:durableId="674504604">
    <w:abstractNumId w:val="11"/>
  </w:num>
  <w:num w:numId="19" w16cid:durableId="1094395789">
    <w:abstractNumId w:val="6"/>
  </w:num>
  <w:num w:numId="20" w16cid:durableId="196895154">
    <w:abstractNumId w:val="4"/>
  </w:num>
  <w:num w:numId="21" w16cid:durableId="499538408">
    <w:abstractNumId w:val="22"/>
  </w:num>
  <w:num w:numId="22" w16cid:durableId="1470246932">
    <w:abstractNumId w:val="19"/>
  </w:num>
  <w:num w:numId="23" w16cid:durableId="1241211823">
    <w:abstractNumId w:val="3"/>
  </w:num>
  <w:num w:numId="24" w16cid:durableId="416173943">
    <w:abstractNumId w:val="26"/>
  </w:num>
  <w:num w:numId="25" w16cid:durableId="788398238">
    <w:abstractNumId w:val="23"/>
  </w:num>
  <w:num w:numId="26" w16cid:durableId="1989086804">
    <w:abstractNumId w:val="21"/>
  </w:num>
  <w:num w:numId="27" w16cid:durableId="2005085679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92"/>
    <w:rsid w:val="000021A9"/>
    <w:rsid w:val="00005B5C"/>
    <w:rsid w:val="00010CB0"/>
    <w:rsid w:val="00011055"/>
    <w:rsid w:val="00014043"/>
    <w:rsid w:val="00021E73"/>
    <w:rsid w:val="00023D7A"/>
    <w:rsid w:val="00036369"/>
    <w:rsid w:val="000418BB"/>
    <w:rsid w:val="0004305F"/>
    <w:rsid w:val="000436D9"/>
    <w:rsid w:val="00045923"/>
    <w:rsid w:val="00053BCF"/>
    <w:rsid w:val="00055F0C"/>
    <w:rsid w:val="00056D5B"/>
    <w:rsid w:val="00057BE8"/>
    <w:rsid w:val="00057DBC"/>
    <w:rsid w:val="00060389"/>
    <w:rsid w:val="00065E61"/>
    <w:rsid w:val="00066DDD"/>
    <w:rsid w:val="00067097"/>
    <w:rsid w:val="00075909"/>
    <w:rsid w:val="000801FE"/>
    <w:rsid w:val="00080FA6"/>
    <w:rsid w:val="000900F2"/>
    <w:rsid w:val="000913B1"/>
    <w:rsid w:val="00094D35"/>
    <w:rsid w:val="000A0399"/>
    <w:rsid w:val="000A2602"/>
    <w:rsid w:val="000A6BF5"/>
    <w:rsid w:val="000B04DA"/>
    <w:rsid w:val="000B3203"/>
    <w:rsid w:val="000B4FC8"/>
    <w:rsid w:val="000C0D6A"/>
    <w:rsid w:val="000C1AC0"/>
    <w:rsid w:val="000C3EA9"/>
    <w:rsid w:val="000C42B3"/>
    <w:rsid w:val="000C49A1"/>
    <w:rsid w:val="000C7E53"/>
    <w:rsid w:val="000D0724"/>
    <w:rsid w:val="000D08E9"/>
    <w:rsid w:val="000D2D7A"/>
    <w:rsid w:val="000D5A1C"/>
    <w:rsid w:val="000D70A9"/>
    <w:rsid w:val="000F2305"/>
    <w:rsid w:val="000F2A27"/>
    <w:rsid w:val="000F3467"/>
    <w:rsid w:val="00100E67"/>
    <w:rsid w:val="00101833"/>
    <w:rsid w:val="00101ECA"/>
    <w:rsid w:val="00102199"/>
    <w:rsid w:val="00105DEB"/>
    <w:rsid w:val="00106340"/>
    <w:rsid w:val="00106A1D"/>
    <w:rsid w:val="001146AC"/>
    <w:rsid w:val="001155FE"/>
    <w:rsid w:val="0012095B"/>
    <w:rsid w:val="00124DE4"/>
    <w:rsid w:val="0012552F"/>
    <w:rsid w:val="00132BA3"/>
    <w:rsid w:val="00133FA5"/>
    <w:rsid w:val="001374D0"/>
    <w:rsid w:val="00141730"/>
    <w:rsid w:val="00141E3E"/>
    <w:rsid w:val="0014677C"/>
    <w:rsid w:val="00146B47"/>
    <w:rsid w:val="001504FB"/>
    <w:rsid w:val="00151F3A"/>
    <w:rsid w:val="001539ED"/>
    <w:rsid w:val="00153FF0"/>
    <w:rsid w:val="00156ABA"/>
    <w:rsid w:val="0016167C"/>
    <w:rsid w:val="0016279B"/>
    <w:rsid w:val="00163F56"/>
    <w:rsid w:val="00166840"/>
    <w:rsid w:val="00166A3D"/>
    <w:rsid w:val="001677FC"/>
    <w:rsid w:val="00180B8A"/>
    <w:rsid w:val="0018157D"/>
    <w:rsid w:val="00181E46"/>
    <w:rsid w:val="00190BB3"/>
    <w:rsid w:val="0019221E"/>
    <w:rsid w:val="00192CF0"/>
    <w:rsid w:val="001936A2"/>
    <w:rsid w:val="001943F9"/>
    <w:rsid w:val="00195DF9"/>
    <w:rsid w:val="001A1162"/>
    <w:rsid w:val="001A116C"/>
    <w:rsid w:val="001A17BE"/>
    <w:rsid w:val="001A4082"/>
    <w:rsid w:val="001B0475"/>
    <w:rsid w:val="001B548E"/>
    <w:rsid w:val="001B76EF"/>
    <w:rsid w:val="001C0122"/>
    <w:rsid w:val="001C32F3"/>
    <w:rsid w:val="001C6B55"/>
    <w:rsid w:val="001C75D5"/>
    <w:rsid w:val="001D6C6F"/>
    <w:rsid w:val="001D7818"/>
    <w:rsid w:val="001E2234"/>
    <w:rsid w:val="001F19E2"/>
    <w:rsid w:val="001F1A48"/>
    <w:rsid w:val="001F7389"/>
    <w:rsid w:val="001F74A0"/>
    <w:rsid w:val="00202508"/>
    <w:rsid w:val="00206AB8"/>
    <w:rsid w:val="002118A2"/>
    <w:rsid w:val="00214885"/>
    <w:rsid w:val="002253CB"/>
    <w:rsid w:val="002268E9"/>
    <w:rsid w:val="00227454"/>
    <w:rsid w:val="002277EC"/>
    <w:rsid w:val="00230020"/>
    <w:rsid w:val="00232738"/>
    <w:rsid w:val="00233E8C"/>
    <w:rsid w:val="002344AB"/>
    <w:rsid w:val="00236A7D"/>
    <w:rsid w:val="00237BE7"/>
    <w:rsid w:val="00241298"/>
    <w:rsid w:val="00244B05"/>
    <w:rsid w:val="0024565E"/>
    <w:rsid w:val="00245FF2"/>
    <w:rsid w:val="002464A0"/>
    <w:rsid w:val="00247669"/>
    <w:rsid w:val="002503AF"/>
    <w:rsid w:val="002515F0"/>
    <w:rsid w:val="002556B0"/>
    <w:rsid w:val="00257499"/>
    <w:rsid w:val="00257BFF"/>
    <w:rsid w:val="00266345"/>
    <w:rsid w:val="002672D1"/>
    <w:rsid w:val="00267BC7"/>
    <w:rsid w:val="0027208E"/>
    <w:rsid w:val="00283B2E"/>
    <w:rsid w:val="00283ECF"/>
    <w:rsid w:val="00285A5D"/>
    <w:rsid w:val="00291796"/>
    <w:rsid w:val="00292234"/>
    <w:rsid w:val="0029671D"/>
    <w:rsid w:val="00296D1D"/>
    <w:rsid w:val="002A0EB0"/>
    <w:rsid w:val="002B10A4"/>
    <w:rsid w:val="002B6DA6"/>
    <w:rsid w:val="002C00D3"/>
    <w:rsid w:val="002C3F98"/>
    <w:rsid w:val="002C694D"/>
    <w:rsid w:val="002C6C2B"/>
    <w:rsid w:val="002C7931"/>
    <w:rsid w:val="002D1A4E"/>
    <w:rsid w:val="002E20FB"/>
    <w:rsid w:val="002E49FC"/>
    <w:rsid w:val="002E5C5A"/>
    <w:rsid w:val="002E5DAF"/>
    <w:rsid w:val="002E634B"/>
    <w:rsid w:val="002E6868"/>
    <w:rsid w:val="002F264A"/>
    <w:rsid w:val="002F41AB"/>
    <w:rsid w:val="002F48BE"/>
    <w:rsid w:val="002F4A10"/>
    <w:rsid w:val="002F58E0"/>
    <w:rsid w:val="003000B9"/>
    <w:rsid w:val="00301CD3"/>
    <w:rsid w:val="00302EB5"/>
    <w:rsid w:val="003079A7"/>
    <w:rsid w:val="003145F2"/>
    <w:rsid w:val="00324F92"/>
    <w:rsid w:val="0032530F"/>
    <w:rsid w:val="00325557"/>
    <w:rsid w:val="00325A28"/>
    <w:rsid w:val="003303E3"/>
    <w:rsid w:val="003518FD"/>
    <w:rsid w:val="003525CF"/>
    <w:rsid w:val="00352C83"/>
    <w:rsid w:val="00352FA5"/>
    <w:rsid w:val="00353145"/>
    <w:rsid w:val="0035429A"/>
    <w:rsid w:val="00355EFE"/>
    <w:rsid w:val="00356ED1"/>
    <w:rsid w:val="003600AE"/>
    <w:rsid w:val="00361274"/>
    <w:rsid w:val="00361E76"/>
    <w:rsid w:val="003627F1"/>
    <w:rsid w:val="00362DAC"/>
    <w:rsid w:val="00363319"/>
    <w:rsid w:val="00364E86"/>
    <w:rsid w:val="00365644"/>
    <w:rsid w:val="00366793"/>
    <w:rsid w:val="003673FF"/>
    <w:rsid w:val="00370D8F"/>
    <w:rsid w:val="00370F4B"/>
    <w:rsid w:val="00374A2E"/>
    <w:rsid w:val="00377C74"/>
    <w:rsid w:val="00380C4E"/>
    <w:rsid w:val="00382653"/>
    <w:rsid w:val="003839E5"/>
    <w:rsid w:val="00386A8C"/>
    <w:rsid w:val="003A172A"/>
    <w:rsid w:val="003B1E3A"/>
    <w:rsid w:val="003B3F30"/>
    <w:rsid w:val="003B5009"/>
    <w:rsid w:val="003B6E2A"/>
    <w:rsid w:val="003C3D83"/>
    <w:rsid w:val="003C56C4"/>
    <w:rsid w:val="003D0A32"/>
    <w:rsid w:val="003D3C2D"/>
    <w:rsid w:val="003D4338"/>
    <w:rsid w:val="003E606E"/>
    <w:rsid w:val="003E66E6"/>
    <w:rsid w:val="003E7169"/>
    <w:rsid w:val="003F0E15"/>
    <w:rsid w:val="003F15C1"/>
    <w:rsid w:val="003F15E3"/>
    <w:rsid w:val="003F20FB"/>
    <w:rsid w:val="00407E3B"/>
    <w:rsid w:val="0041073C"/>
    <w:rsid w:val="00412BAC"/>
    <w:rsid w:val="00412D78"/>
    <w:rsid w:val="00413145"/>
    <w:rsid w:val="004137BC"/>
    <w:rsid w:val="00414B03"/>
    <w:rsid w:val="00415C7A"/>
    <w:rsid w:val="00415FAB"/>
    <w:rsid w:val="00422DA5"/>
    <w:rsid w:val="00427AB5"/>
    <w:rsid w:val="004307B3"/>
    <w:rsid w:val="004328B0"/>
    <w:rsid w:val="004337AC"/>
    <w:rsid w:val="00433D5D"/>
    <w:rsid w:val="004418AD"/>
    <w:rsid w:val="004449EF"/>
    <w:rsid w:val="00446FDB"/>
    <w:rsid w:val="0045001F"/>
    <w:rsid w:val="004508DE"/>
    <w:rsid w:val="0045190D"/>
    <w:rsid w:val="00451A60"/>
    <w:rsid w:val="00454EF3"/>
    <w:rsid w:val="00456310"/>
    <w:rsid w:val="0045663B"/>
    <w:rsid w:val="004613FA"/>
    <w:rsid w:val="004622CE"/>
    <w:rsid w:val="00462B9B"/>
    <w:rsid w:val="00467699"/>
    <w:rsid w:val="00467B7B"/>
    <w:rsid w:val="004700C0"/>
    <w:rsid w:val="00470EE6"/>
    <w:rsid w:val="00473070"/>
    <w:rsid w:val="0047337E"/>
    <w:rsid w:val="00474182"/>
    <w:rsid w:val="00481D48"/>
    <w:rsid w:val="00482059"/>
    <w:rsid w:val="004874B8"/>
    <w:rsid w:val="004919F0"/>
    <w:rsid w:val="0049437D"/>
    <w:rsid w:val="004A22F9"/>
    <w:rsid w:val="004A7CA0"/>
    <w:rsid w:val="004B1485"/>
    <w:rsid w:val="004B2801"/>
    <w:rsid w:val="004B38B1"/>
    <w:rsid w:val="004B4631"/>
    <w:rsid w:val="004D6265"/>
    <w:rsid w:val="004D6339"/>
    <w:rsid w:val="004D7AA0"/>
    <w:rsid w:val="004E17FB"/>
    <w:rsid w:val="004E3BD2"/>
    <w:rsid w:val="004F4696"/>
    <w:rsid w:val="004F78A0"/>
    <w:rsid w:val="004F7951"/>
    <w:rsid w:val="005011A4"/>
    <w:rsid w:val="0050430D"/>
    <w:rsid w:val="005075E9"/>
    <w:rsid w:val="005141CB"/>
    <w:rsid w:val="00522B40"/>
    <w:rsid w:val="00522D09"/>
    <w:rsid w:val="0052303B"/>
    <w:rsid w:val="00525DBF"/>
    <w:rsid w:val="00531D41"/>
    <w:rsid w:val="00532932"/>
    <w:rsid w:val="0053401F"/>
    <w:rsid w:val="0053748F"/>
    <w:rsid w:val="0054020D"/>
    <w:rsid w:val="00542C7A"/>
    <w:rsid w:val="0054654C"/>
    <w:rsid w:val="00546C0C"/>
    <w:rsid w:val="00553D3E"/>
    <w:rsid w:val="005566E5"/>
    <w:rsid w:val="00556D1D"/>
    <w:rsid w:val="005602BA"/>
    <w:rsid w:val="005619BB"/>
    <w:rsid w:val="00567FB2"/>
    <w:rsid w:val="00572549"/>
    <w:rsid w:val="00576C65"/>
    <w:rsid w:val="0057760B"/>
    <w:rsid w:val="00581B3F"/>
    <w:rsid w:val="005825AE"/>
    <w:rsid w:val="0058349F"/>
    <w:rsid w:val="0059190D"/>
    <w:rsid w:val="00594461"/>
    <w:rsid w:val="00595418"/>
    <w:rsid w:val="005A0A00"/>
    <w:rsid w:val="005A2CD2"/>
    <w:rsid w:val="005A325C"/>
    <w:rsid w:val="005A49B0"/>
    <w:rsid w:val="005A640A"/>
    <w:rsid w:val="005A6DE1"/>
    <w:rsid w:val="005A7393"/>
    <w:rsid w:val="005C058C"/>
    <w:rsid w:val="005C0707"/>
    <w:rsid w:val="005C4C44"/>
    <w:rsid w:val="005C50CB"/>
    <w:rsid w:val="005C55A1"/>
    <w:rsid w:val="005C76C5"/>
    <w:rsid w:val="005E02C0"/>
    <w:rsid w:val="005E03BB"/>
    <w:rsid w:val="005E1EBA"/>
    <w:rsid w:val="005E229E"/>
    <w:rsid w:val="005E5AE3"/>
    <w:rsid w:val="005F19FB"/>
    <w:rsid w:val="005F27CF"/>
    <w:rsid w:val="005F67D7"/>
    <w:rsid w:val="005F7BD5"/>
    <w:rsid w:val="00602674"/>
    <w:rsid w:val="00603AAB"/>
    <w:rsid w:val="00604572"/>
    <w:rsid w:val="006100EE"/>
    <w:rsid w:val="00610A77"/>
    <w:rsid w:val="00614BED"/>
    <w:rsid w:val="00623A77"/>
    <w:rsid w:val="00626140"/>
    <w:rsid w:val="00632318"/>
    <w:rsid w:val="00634C8B"/>
    <w:rsid w:val="00636232"/>
    <w:rsid w:val="00643B26"/>
    <w:rsid w:val="006443C9"/>
    <w:rsid w:val="00645F61"/>
    <w:rsid w:val="00652EDF"/>
    <w:rsid w:val="00653815"/>
    <w:rsid w:val="00656EFF"/>
    <w:rsid w:val="00657D31"/>
    <w:rsid w:val="00660756"/>
    <w:rsid w:val="0066227C"/>
    <w:rsid w:val="00662560"/>
    <w:rsid w:val="00663741"/>
    <w:rsid w:val="00664ED0"/>
    <w:rsid w:val="0066521A"/>
    <w:rsid w:val="006676BD"/>
    <w:rsid w:val="00667DB1"/>
    <w:rsid w:val="00677843"/>
    <w:rsid w:val="00693365"/>
    <w:rsid w:val="0069484E"/>
    <w:rsid w:val="00696328"/>
    <w:rsid w:val="006A3737"/>
    <w:rsid w:val="006A7554"/>
    <w:rsid w:val="006A7C40"/>
    <w:rsid w:val="006B3128"/>
    <w:rsid w:val="006B43FC"/>
    <w:rsid w:val="006B4C15"/>
    <w:rsid w:val="006C5A8B"/>
    <w:rsid w:val="006C5FFA"/>
    <w:rsid w:val="006D1422"/>
    <w:rsid w:val="006D35D6"/>
    <w:rsid w:val="006E2902"/>
    <w:rsid w:val="006F026D"/>
    <w:rsid w:val="006F05A3"/>
    <w:rsid w:val="006F1CF9"/>
    <w:rsid w:val="006F63A5"/>
    <w:rsid w:val="00706A60"/>
    <w:rsid w:val="00706DC4"/>
    <w:rsid w:val="00711946"/>
    <w:rsid w:val="007133F4"/>
    <w:rsid w:val="00716131"/>
    <w:rsid w:val="007244AB"/>
    <w:rsid w:val="00731C81"/>
    <w:rsid w:val="00737BCF"/>
    <w:rsid w:val="007422ED"/>
    <w:rsid w:val="007432E9"/>
    <w:rsid w:val="0074601A"/>
    <w:rsid w:val="0075073D"/>
    <w:rsid w:val="00752028"/>
    <w:rsid w:val="00764825"/>
    <w:rsid w:val="00766876"/>
    <w:rsid w:val="00767E72"/>
    <w:rsid w:val="007752C3"/>
    <w:rsid w:val="007807A2"/>
    <w:rsid w:val="0078272B"/>
    <w:rsid w:val="007828D6"/>
    <w:rsid w:val="00791229"/>
    <w:rsid w:val="00792397"/>
    <w:rsid w:val="007928C0"/>
    <w:rsid w:val="00797E9D"/>
    <w:rsid w:val="007A28E8"/>
    <w:rsid w:val="007A4F0B"/>
    <w:rsid w:val="007A4FB5"/>
    <w:rsid w:val="007A7379"/>
    <w:rsid w:val="007A7899"/>
    <w:rsid w:val="007B0620"/>
    <w:rsid w:val="007B163A"/>
    <w:rsid w:val="007B3A49"/>
    <w:rsid w:val="007B65FE"/>
    <w:rsid w:val="007B6C60"/>
    <w:rsid w:val="007C0DDE"/>
    <w:rsid w:val="007D0610"/>
    <w:rsid w:val="007D2179"/>
    <w:rsid w:val="007D2454"/>
    <w:rsid w:val="007D4F87"/>
    <w:rsid w:val="007D7E65"/>
    <w:rsid w:val="007F2871"/>
    <w:rsid w:val="007F5E05"/>
    <w:rsid w:val="007F7A52"/>
    <w:rsid w:val="00802347"/>
    <w:rsid w:val="00812306"/>
    <w:rsid w:val="0081259F"/>
    <w:rsid w:val="00812752"/>
    <w:rsid w:val="00812DBE"/>
    <w:rsid w:val="00812E15"/>
    <w:rsid w:val="00813364"/>
    <w:rsid w:val="0081455E"/>
    <w:rsid w:val="0081648C"/>
    <w:rsid w:val="00822EC3"/>
    <w:rsid w:val="00824B4D"/>
    <w:rsid w:val="0083338A"/>
    <w:rsid w:val="008357C4"/>
    <w:rsid w:val="008365A1"/>
    <w:rsid w:val="008378EE"/>
    <w:rsid w:val="00841F82"/>
    <w:rsid w:val="00847741"/>
    <w:rsid w:val="0085140E"/>
    <w:rsid w:val="00861264"/>
    <w:rsid w:val="0086417E"/>
    <w:rsid w:val="00870638"/>
    <w:rsid w:val="00871C53"/>
    <w:rsid w:val="00873CA9"/>
    <w:rsid w:val="008746EF"/>
    <w:rsid w:val="0087547C"/>
    <w:rsid w:val="0087688D"/>
    <w:rsid w:val="00877184"/>
    <w:rsid w:val="008774A7"/>
    <w:rsid w:val="00882460"/>
    <w:rsid w:val="0088752D"/>
    <w:rsid w:val="008914E3"/>
    <w:rsid w:val="008A15BC"/>
    <w:rsid w:val="008A1B62"/>
    <w:rsid w:val="008A5FEA"/>
    <w:rsid w:val="008B1D22"/>
    <w:rsid w:val="008B3F5D"/>
    <w:rsid w:val="008B533F"/>
    <w:rsid w:val="008C0E32"/>
    <w:rsid w:val="008C23DD"/>
    <w:rsid w:val="008C2C56"/>
    <w:rsid w:val="008C38D7"/>
    <w:rsid w:val="008D11C6"/>
    <w:rsid w:val="008D4155"/>
    <w:rsid w:val="008D6214"/>
    <w:rsid w:val="008E03C1"/>
    <w:rsid w:val="008E3B07"/>
    <w:rsid w:val="008E5450"/>
    <w:rsid w:val="008F07E9"/>
    <w:rsid w:val="008F2B7D"/>
    <w:rsid w:val="008F2D05"/>
    <w:rsid w:val="008F51A5"/>
    <w:rsid w:val="00900C25"/>
    <w:rsid w:val="00902DB5"/>
    <w:rsid w:val="00905ABB"/>
    <w:rsid w:val="009116AC"/>
    <w:rsid w:val="00914D04"/>
    <w:rsid w:val="00920C8E"/>
    <w:rsid w:val="0092457E"/>
    <w:rsid w:val="00924B76"/>
    <w:rsid w:val="00931652"/>
    <w:rsid w:val="00934BF0"/>
    <w:rsid w:val="00934F71"/>
    <w:rsid w:val="0093501C"/>
    <w:rsid w:val="009366DA"/>
    <w:rsid w:val="00937362"/>
    <w:rsid w:val="00941FDB"/>
    <w:rsid w:val="0094289E"/>
    <w:rsid w:val="009449F3"/>
    <w:rsid w:val="00944E18"/>
    <w:rsid w:val="00957A3A"/>
    <w:rsid w:val="00961087"/>
    <w:rsid w:val="00963B99"/>
    <w:rsid w:val="00963E26"/>
    <w:rsid w:val="00964384"/>
    <w:rsid w:val="009645DF"/>
    <w:rsid w:val="00967503"/>
    <w:rsid w:val="009723A5"/>
    <w:rsid w:val="00975D12"/>
    <w:rsid w:val="00977EAC"/>
    <w:rsid w:val="009819A0"/>
    <w:rsid w:val="00982C8D"/>
    <w:rsid w:val="009865CB"/>
    <w:rsid w:val="009942A2"/>
    <w:rsid w:val="009950E8"/>
    <w:rsid w:val="009953CD"/>
    <w:rsid w:val="00997006"/>
    <w:rsid w:val="009A3BCB"/>
    <w:rsid w:val="009A76D8"/>
    <w:rsid w:val="009B560B"/>
    <w:rsid w:val="009C04CE"/>
    <w:rsid w:val="009C1088"/>
    <w:rsid w:val="009C66BC"/>
    <w:rsid w:val="009D0E0B"/>
    <w:rsid w:val="009E0818"/>
    <w:rsid w:val="009E1308"/>
    <w:rsid w:val="009E2358"/>
    <w:rsid w:val="009E54D1"/>
    <w:rsid w:val="009E7414"/>
    <w:rsid w:val="009F168A"/>
    <w:rsid w:val="009F2F13"/>
    <w:rsid w:val="009F4F47"/>
    <w:rsid w:val="009F55E5"/>
    <w:rsid w:val="00A07559"/>
    <w:rsid w:val="00A07B85"/>
    <w:rsid w:val="00A1203D"/>
    <w:rsid w:val="00A13082"/>
    <w:rsid w:val="00A14D6C"/>
    <w:rsid w:val="00A22762"/>
    <w:rsid w:val="00A2394F"/>
    <w:rsid w:val="00A23BC0"/>
    <w:rsid w:val="00A256DF"/>
    <w:rsid w:val="00A31A6F"/>
    <w:rsid w:val="00A33817"/>
    <w:rsid w:val="00A3560E"/>
    <w:rsid w:val="00A37B3A"/>
    <w:rsid w:val="00A419D7"/>
    <w:rsid w:val="00A42197"/>
    <w:rsid w:val="00A4411C"/>
    <w:rsid w:val="00A443A1"/>
    <w:rsid w:val="00A4510A"/>
    <w:rsid w:val="00A50494"/>
    <w:rsid w:val="00A56DAC"/>
    <w:rsid w:val="00A57EF9"/>
    <w:rsid w:val="00A639F3"/>
    <w:rsid w:val="00A666C3"/>
    <w:rsid w:val="00A71B38"/>
    <w:rsid w:val="00A72892"/>
    <w:rsid w:val="00A84865"/>
    <w:rsid w:val="00A90D9C"/>
    <w:rsid w:val="00A90F08"/>
    <w:rsid w:val="00A93AA5"/>
    <w:rsid w:val="00A93AC0"/>
    <w:rsid w:val="00A97231"/>
    <w:rsid w:val="00AA0F82"/>
    <w:rsid w:val="00AB5D88"/>
    <w:rsid w:val="00AC0300"/>
    <w:rsid w:val="00AC176F"/>
    <w:rsid w:val="00AC610B"/>
    <w:rsid w:val="00AD2DC3"/>
    <w:rsid w:val="00AD3B49"/>
    <w:rsid w:val="00AD59C2"/>
    <w:rsid w:val="00AD5FE0"/>
    <w:rsid w:val="00AD69B9"/>
    <w:rsid w:val="00AD7667"/>
    <w:rsid w:val="00AE3CD0"/>
    <w:rsid w:val="00AF1167"/>
    <w:rsid w:val="00AF2690"/>
    <w:rsid w:val="00AF59CD"/>
    <w:rsid w:val="00B01E1C"/>
    <w:rsid w:val="00B079EB"/>
    <w:rsid w:val="00B10AB6"/>
    <w:rsid w:val="00B13AE7"/>
    <w:rsid w:val="00B14573"/>
    <w:rsid w:val="00B1745C"/>
    <w:rsid w:val="00B2028C"/>
    <w:rsid w:val="00B20C67"/>
    <w:rsid w:val="00B20FF6"/>
    <w:rsid w:val="00B22DBA"/>
    <w:rsid w:val="00B23368"/>
    <w:rsid w:val="00B23392"/>
    <w:rsid w:val="00B32D26"/>
    <w:rsid w:val="00B3738B"/>
    <w:rsid w:val="00B40A14"/>
    <w:rsid w:val="00B41F48"/>
    <w:rsid w:val="00B43B98"/>
    <w:rsid w:val="00B44031"/>
    <w:rsid w:val="00B5473A"/>
    <w:rsid w:val="00B54E1C"/>
    <w:rsid w:val="00B566AB"/>
    <w:rsid w:val="00B56AD6"/>
    <w:rsid w:val="00B606C3"/>
    <w:rsid w:val="00B63459"/>
    <w:rsid w:val="00B67D00"/>
    <w:rsid w:val="00B71792"/>
    <w:rsid w:val="00B72B9C"/>
    <w:rsid w:val="00B74739"/>
    <w:rsid w:val="00B74BF6"/>
    <w:rsid w:val="00B74E96"/>
    <w:rsid w:val="00B80E4F"/>
    <w:rsid w:val="00B825D9"/>
    <w:rsid w:val="00BA258D"/>
    <w:rsid w:val="00BA6DF6"/>
    <w:rsid w:val="00BA6FBF"/>
    <w:rsid w:val="00BB05F7"/>
    <w:rsid w:val="00BB1CE3"/>
    <w:rsid w:val="00BB5A05"/>
    <w:rsid w:val="00BB722A"/>
    <w:rsid w:val="00BC7198"/>
    <w:rsid w:val="00BD4D67"/>
    <w:rsid w:val="00BD4FB4"/>
    <w:rsid w:val="00BE2EE7"/>
    <w:rsid w:val="00BE30C9"/>
    <w:rsid w:val="00BE546B"/>
    <w:rsid w:val="00BE766F"/>
    <w:rsid w:val="00BF404C"/>
    <w:rsid w:val="00BF4E6F"/>
    <w:rsid w:val="00BF7AB4"/>
    <w:rsid w:val="00C04AB8"/>
    <w:rsid w:val="00C13547"/>
    <w:rsid w:val="00C17328"/>
    <w:rsid w:val="00C21686"/>
    <w:rsid w:val="00C279FF"/>
    <w:rsid w:val="00C303E6"/>
    <w:rsid w:val="00C340BE"/>
    <w:rsid w:val="00C375D8"/>
    <w:rsid w:val="00C403CC"/>
    <w:rsid w:val="00C40D48"/>
    <w:rsid w:val="00C4216E"/>
    <w:rsid w:val="00C47912"/>
    <w:rsid w:val="00C51FBE"/>
    <w:rsid w:val="00C547B0"/>
    <w:rsid w:val="00C57F63"/>
    <w:rsid w:val="00C61F25"/>
    <w:rsid w:val="00C620B9"/>
    <w:rsid w:val="00C702ED"/>
    <w:rsid w:val="00C80033"/>
    <w:rsid w:val="00C817E8"/>
    <w:rsid w:val="00C84C2C"/>
    <w:rsid w:val="00C85368"/>
    <w:rsid w:val="00C87D1B"/>
    <w:rsid w:val="00C96718"/>
    <w:rsid w:val="00CA0811"/>
    <w:rsid w:val="00CA3340"/>
    <w:rsid w:val="00CA4280"/>
    <w:rsid w:val="00CA5155"/>
    <w:rsid w:val="00CA55ED"/>
    <w:rsid w:val="00CB17A1"/>
    <w:rsid w:val="00CB22B1"/>
    <w:rsid w:val="00CB4628"/>
    <w:rsid w:val="00CC29B2"/>
    <w:rsid w:val="00CC557E"/>
    <w:rsid w:val="00CC75C5"/>
    <w:rsid w:val="00CC7D9D"/>
    <w:rsid w:val="00CD2259"/>
    <w:rsid w:val="00CD7FE4"/>
    <w:rsid w:val="00CE0FBF"/>
    <w:rsid w:val="00CE1082"/>
    <w:rsid w:val="00CE1D31"/>
    <w:rsid w:val="00CE3381"/>
    <w:rsid w:val="00CE7E13"/>
    <w:rsid w:val="00CE7EB6"/>
    <w:rsid w:val="00CF0FF8"/>
    <w:rsid w:val="00CF2B01"/>
    <w:rsid w:val="00CF466F"/>
    <w:rsid w:val="00CF5B78"/>
    <w:rsid w:val="00CF7590"/>
    <w:rsid w:val="00D0712B"/>
    <w:rsid w:val="00D1314F"/>
    <w:rsid w:val="00D133AB"/>
    <w:rsid w:val="00D154B0"/>
    <w:rsid w:val="00D16B97"/>
    <w:rsid w:val="00D17330"/>
    <w:rsid w:val="00D421C3"/>
    <w:rsid w:val="00D42FD1"/>
    <w:rsid w:val="00D52945"/>
    <w:rsid w:val="00D564B5"/>
    <w:rsid w:val="00D57064"/>
    <w:rsid w:val="00D57A0C"/>
    <w:rsid w:val="00D57F1A"/>
    <w:rsid w:val="00D752B6"/>
    <w:rsid w:val="00D769CB"/>
    <w:rsid w:val="00D7770D"/>
    <w:rsid w:val="00D84D9F"/>
    <w:rsid w:val="00D855DB"/>
    <w:rsid w:val="00D92660"/>
    <w:rsid w:val="00D92C8B"/>
    <w:rsid w:val="00D93036"/>
    <w:rsid w:val="00D9326B"/>
    <w:rsid w:val="00D94270"/>
    <w:rsid w:val="00D942CF"/>
    <w:rsid w:val="00D94D71"/>
    <w:rsid w:val="00DA4CB3"/>
    <w:rsid w:val="00DA66D2"/>
    <w:rsid w:val="00DB526D"/>
    <w:rsid w:val="00DC1411"/>
    <w:rsid w:val="00DC33B6"/>
    <w:rsid w:val="00DC6B7E"/>
    <w:rsid w:val="00DD548B"/>
    <w:rsid w:val="00DF0602"/>
    <w:rsid w:val="00DF0DC2"/>
    <w:rsid w:val="00DF485A"/>
    <w:rsid w:val="00DF4C7E"/>
    <w:rsid w:val="00DF7783"/>
    <w:rsid w:val="00E00069"/>
    <w:rsid w:val="00E00332"/>
    <w:rsid w:val="00E02255"/>
    <w:rsid w:val="00E02928"/>
    <w:rsid w:val="00E046F5"/>
    <w:rsid w:val="00E11F38"/>
    <w:rsid w:val="00E13941"/>
    <w:rsid w:val="00E2082E"/>
    <w:rsid w:val="00E3379D"/>
    <w:rsid w:val="00E41C2D"/>
    <w:rsid w:val="00E422A0"/>
    <w:rsid w:val="00E4538D"/>
    <w:rsid w:val="00E47831"/>
    <w:rsid w:val="00E53315"/>
    <w:rsid w:val="00E67310"/>
    <w:rsid w:val="00E77384"/>
    <w:rsid w:val="00E807B6"/>
    <w:rsid w:val="00E82390"/>
    <w:rsid w:val="00E82E22"/>
    <w:rsid w:val="00E8678E"/>
    <w:rsid w:val="00E9178A"/>
    <w:rsid w:val="00E9309B"/>
    <w:rsid w:val="00E95979"/>
    <w:rsid w:val="00EA0354"/>
    <w:rsid w:val="00EA3D4D"/>
    <w:rsid w:val="00EA77D2"/>
    <w:rsid w:val="00EB3051"/>
    <w:rsid w:val="00EC0C3A"/>
    <w:rsid w:val="00EC3ADE"/>
    <w:rsid w:val="00ED4061"/>
    <w:rsid w:val="00ED6EC6"/>
    <w:rsid w:val="00EE3DB0"/>
    <w:rsid w:val="00EE5147"/>
    <w:rsid w:val="00EE731C"/>
    <w:rsid w:val="00EF2CB0"/>
    <w:rsid w:val="00EF7043"/>
    <w:rsid w:val="00EF7B72"/>
    <w:rsid w:val="00F02682"/>
    <w:rsid w:val="00F02907"/>
    <w:rsid w:val="00F0490A"/>
    <w:rsid w:val="00F06F51"/>
    <w:rsid w:val="00F128A6"/>
    <w:rsid w:val="00F1591A"/>
    <w:rsid w:val="00F16C21"/>
    <w:rsid w:val="00F21896"/>
    <w:rsid w:val="00F23791"/>
    <w:rsid w:val="00F265E0"/>
    <w:rsid w:val="00F3326F"/>
    <w:rsid w:val="00F349BC"/>
    <w:rsid w:val="00F354F3"/>
    <w:rsid w:val="00F35B95"/>
    <w:rsid w:val="00F36100"/>
    <w:rsid w:val="00F37A77"/>
    <w:rsid w:val="00F37C65"/>
    <w:rsid w:val="00F40DD5"/>
    <w:rsid w:val="00F4137E"/>
    <w:rsid w:val="00F4354C"/>
    <w:rsid w:val="00F44765"/>
    <w:rsid w:val="00F474BD"/>
    <w:rsid w:val="00F4788C"/>
    <w:rsid w:val="00F479CF"/>
    <w:rsid w:val="00F5541C"/>
    <w:rsid w:val="00F57BB0"/>
    <w:rsid w:val="00F60D12"/>
    <w:rsid w:val="00F6457E"/>
    <w:rsid w:val="00F646EA"/>
    <w:rsid w:val="00F654DF"/>
    <w:rsid w:val="00F65BD9"/>
    <w:rsid w:val="00F67DF7"/>
    <w:rsid w:val="00F80929"/>
    <w:rsid w:val="00F80D4D"/>
    <w:rsid w:val="00F8332E"/>
    <w:rsid w:val="00F838A0"/>
    <w:rsid w:val="00F83E89"/>
    <w:rsid w:val="00F857A9"/>
    <w:rsid w:val="00F860E6"/>
    <w:rsid w:val="00F8637C"/>
    <w:rsid w:val="00F86DF9"/>
    <w:rsid w:val="00F86E05"/>
    <w:rsid w:val="00F87262"/>
    <w:rsid w:val="00F9288B"/>
    <w:rsid w:val="00F93821"/>
    <w:rsid w:val="00F93B29"/>
    <w:rsid w:val="00F940E6"/>
    <w:rsid w:val="00F95669"/>
    <w:rsid w:val="00F95FAA"/>
    <w:rsid w:val="00FA0FC5"/>
    <w:rsid w:val="00FA488B"/>
    <w:rsid w:val="00FA573D"/>
    <w:rsid w:val="00FA6491"/>
    <w:rsid w:val="00FA7796"/>
    <w:rsid w:val="00FC2300"/>
    <w:rsid w:val="00FC2A88"/>
    <w:rsid w:val="00FC5DDF"/>
    <w:rsid w:val="00FC7079"/>
    <w:rsid w:val="00FD2F5D"/>
    <w:rsid w:val="00FD69B5"/>
    <w:rsid w:val="00FE124F"/>
    <w:rsid w:val="00FE5469"/>
    <w:rsid w:val="00FE6FBF"/>
    <w:rsid w:val="00FE78E0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2AFFE"/>
  <w15:docId w15:val="{B32D2881-408F-4425-BC7E-00007AB1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90D"/>
  </w:style>
  <w:style w:type="paragraph" w:styleId="Ttulo1">
    <w:name w:val="heading 1"/>
    <w:basedOn w:val="Normal"/>
    <w:link w:val="Ttulo1Char"/>
    <w:autoRedefine/>
    <w:rsid w:val="00352C83"/>
    <w:pPr>
      <w:numPr>
        <w:numId w:val="3"/>
      </w:numPr>
      <w:suppressAutoHyphens/>
      <w:autoSpaceDN w:val="0"/>
      <w:spacing w:before="120" w:after="120" w:line="360" w:lineRule="auto"/>
      <w:jc w:val="both"/>
      <w:textAlignment w:val="baseline"/>
      <w:outlineLvl w:val="0"/>
    </w:pPr>
    <w:rPr>
      <w:rFonts w:ascii="Tahoma" w:eastAsia="Times New Roman" w:hAnsi="Tahoma" w:cs="Tahoma"/>
      <w:bCs/>
      <w:color w:val="DD4F05"/>
      <w:kern w:val="3"/>
      <w:lang w:eastAsia="pt-BR"/>
    </w:rPr>
  </w:style>
  <w:style w:type="paragraph" w:styleId="Ttulo2">
    <w:name w:val="heading 2"/>
    <w:basedOn w:val="Estilo2"/>
    <w:next w:val="Normal"/>
    <w:link w:val="Ttulo2Char"/>
    <w:rsid w:val="00352C83"/>
    <w:pPr>
      <w:outlineLvl w:val="1"/>
    </w:pPr>
  </w:style>
  <w:style w:type="paragraph" w:styleId="Ttulo3">
    <w:name w:val="heading 3"/>
    <w:basedOn w:val="Normal"/>
    <w:next w:val="Normal"/>
    <w:link w:val="Ttulo3Char"/>
    <w:rsid w:val="00352C83"/>
    <w:pPr>
      <w:autoSpaceDN w:val="0"/>
      <w:spacing w:before="240" w:after="60" w:line="264" w:lineRule="auto"/>
      <w:ind w:left="1146" w:hanging="720"/>
      <w:outlineLvl w:val="2"/>
    </w:pPr>
    <w:rPr>
      <w:rFonts w:ascii="Calibri" w:eastAsia="Calibri" w:hAnsi="Calibri" w:cs="Times New Roman"/>
      <w:b/>
      <w:color w:val="000000"/>
      <w:spacing w:val="10"/>
      <w:kern w:val="3"/>
      <w:sz w:val="23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352C83"/>
    <w:pPr>
      <w:keepNext/>
      <w:keepLines/>
      <w:suppressAutoHyphens/>
      <w:autoSpaceDN w:val="0"/>
      <w:spacing w:before="40" w:after="0" w:line="360" w:lineRule="auto"/>
      <w:ind w:left="1148" w:hanging="864"/>
      <w:jc w:val="both"/>
      <w:textAlignment w:val="baseline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Ttulo5">
    <w:name w:val="heading 5"/>
    <w:basedOn w:val="Normal"/>
    <w:next w:val="Normal"/>
    <w:link w:val="Ttulo5Char"/>
    <w:rsid w:val="00352C83"/>
    <w:pPr>
      <w:keepNext/>
      <w:keepLines/>
      <w:suppressAutoHyphens/>
      <w:autoSpaceDN w:val="0"/>
      <w:spacing w:before="40" w:after="0" w:line="360" w:lineRule="auto"/>
      <w:ind w:left="1292" w:hanging="1008"/>
      <w:jc w:val="both"/>
      <w:textAlignment w:val="baseline"/>
      <w:outlineLvl w:val="4"/>
    </w:pPr>
    <w:rPr>
      <w:rFonts w:ascii="Calibri Light" w:eastAsia="Times New Roman" w:hAnsi="Calibri Light" w:cs="Times New Roman"/>
      <w:color w:val="2E74B5"/>
    </w:rPr>
  </w:style>
  <w:style w:type="paragraph" w:styleId="Ttulo6">
    <w:name w:val="heading 6"/>
    <w:basedOn w:val="Normal"/>
    <w:next w:val="Normal"/>
    <w:link w:val="Ttulo6Char"/>
    <w:rsid w:val="00352C83"/>
    <w:pPr>
      <w:keepNext/>
      <w:keepLines/>
      <w:suppressAutoHyphens/>
      <w:autoSpaceDN w:val="0"/>
      <w:spacing w:before="40" w:after="0" w:line="360" w:lineRule="auto"/>
      <w:ind w:left="1436" w:hanging="1152"/>
      <w:jc w:val="both"/>
      <w:textAlignment w:val="baseline"/>
      <w:outlineLvl w:val="5"/>
    </w:pPr>
    <w:rPr>
      <w:rFonts w:ascii="Calibri Light" w:eastAsia="Times New Roman" w:hAnsi="Calibri Light" w:cs="Times New Roman"/>
      <w:color w:val="1F4D78"/>
    </w:rPr>
  </w:style>
  <w:style w:type="paragraph" w:styleId="Ttulo7">
    <w:name w:val="heading 7"/>
    <w:basedOn w:val="Normal"/>
    <w:next w:val="Normal"/>
    <w:link w:val="Ttulo7Char"/>
    <w:rsid w:val="00352C83"/>
    <w:pPr>
      <w:keepNext/>
      <w:keepLines/>
      <w:suppressAutoHyphens/>
      <w:autoSpaceDN w:val="0"/>
      <w:spacing w:before="40" w:after="0" w:line="360" w:lineRule="auto"/>
      <w:ind w:left="1580" w:hanging="1296"/>
      <w:jc w:val="both"/>
      <w:textAlignment w:val="baseline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styleId="Ttulo8">
    <w:name w:val="heading 8"/>
    <w:basedOn w:val="Normal"/>
    <w:next w:val="Normal"/>
    <w:link w:val="Ttulo8Char"/>
    <w:rsid w:val="00352C83"/>
    <w:pPr>
      <w:keepNext/>
      <w:keepLines/>
      <w:suppressAutoHyphens/>
      <w:autoSpaceDN w:val="0"/>
      <w:spacing w:before="40" w:after="0" w:line="360" w:lineRule="auto"/>
      <w:ind w:left="1724" w:hanging="1440"/>
      <w:jc w:val="both"/>
      <w:textAlignment w:val="baseline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rsid w:val="00352C83"/>
    <w:pPr>
      <w:keepNext/>
      <w:keepLines/>
      <w:suppressAutoHyphens/>
      <w:autoSpaceDN w:val="0"/>
      <w:spacing w:before="40" w:after="0" w:line="360" w:lineRule="auto"/>
      <w:ind w:left="1868" w:hanging="1584"/>
      <w:jc w:val="both"/>
      <w:textAlignment w:val="baseline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72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892"/>
    <w:rPr>
      <w:noProof/>
    </w:rPr>
  </w:style>
  <w:style w:type="paragraph" w:styleId="NormalWeb">
    <w:name w:val="Normal (Web)"/>
    <w:basedOn w:val="Normal"/>
    <w:unhideWhenUsed/>
    <w:rsid w:val="00A72892"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A72892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uiPriority w:val="39"/>
    <w:unhideWhenUsed/>
    <w:rsid w:val="00E3379D"/>
    <w:pPr>
      <w:tabs>
        <w:tab w:val="left" w:pos="709"/>
        <w:tab w:val="right" w:leader="dot" w:pos="9736"/>
      </w:tabs>
      <w:spacing w:before="120" w:after="120" w:line="240" w:lineRule="auto"/>
    </w:pPr>
  </w:style>
  <w:style w:type="character" w:styleId="Hyperlink">
    <w:name w:val="Hyperlink"/>
    <w:basedOn w:val="Fontepargpadro"/>
    <w:uiPriority w:val="99"/>
    <w:unhideWhenUsed/>
    <w:rsid w:val="006D35D6"/>
    <w:rPr>
      <w:color w:val="0563C1" w:themeColor="hyperlink"/>
      <w:u w:val="single"/>
    </w:rPr>
  </w:style>
  <w:style w:type="paragraph" w:styleId="PargrafodaLista">
    <w:name w:val="List Paragraph"/>
    <w:aliases w:val="Parágrafo da Lista 1"/>
    <w:basedOn w:val="Normal"/>
    <w:uiPriority w:val="34"/>
    <w:qFormat/>
    <w:rsid w:val="006D35D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D3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D35D6"/>
    <w:rPr>
      <w:noProof/>
    </w:rPr>
  </w:style>
  <w:style w:type="character" w:customStyle="1" w:styleId="Ttulo1Char">
    <w:name w:val="Título 1 Char"/>
    <w:basedOn w:val="Fontepargpadro"/>
    <w:link w:val="Ttulo1"/>
    <w:rsid w:val="00352C83"/>
    <w:rPr>
      <w:rFonts w:ascii="Tahoma" w:eastAsia="Times New Roman" w:hAnsi="Tahoma" w:cs="Tahoma"/>
      <w:bCs/>
      <w:color w:val="DD4F05"/>
      <w:kern w:val="3"/>
      <w:lang w:eastAsia="pt-BR"/>
    </w:rPr>
  </w:style>
  <w:style w:type="character" w:customStyle="1" w:styleId="Ttulo2Char">
    <w:name w:val="Título 2 Char"/>
    <w:basedOn w:val="Fontepargpadro"/>
    <w:link w:val="Ttulo2"/>
    <w:rsid w:val="00352C83"/>
    <w:rPr>
      <w:rFonts w:ascii="Tahoma" w:eastAsia="Times New Roman" w:hAnsi="Tahoma" w:cs="Tahoma"/>
      <w:bCs/>
      <w:color w:val="044F50"/>
      <w:kern w:val="3"/>
      <w:sz w:val="19"/>
      <w:lang w:eastAsia="pt-BR"/>
    </w:rPr>
  </w:style>
  <w:style w:type="character" w:customStyle="1" w:styleId="Ttulo3Char">
    <w:name w:val="Título 3 Char"/>
    <w:basedOn w:val="Fontepargpadro"/>
    <w:link w:val="Ttulo3"/>
    <w:rsid w:val="00352C83"/>
    <w:rPr>
      <w:rFonts w:ascii="Calibri" w:eastAsia="Calibri" w:hAnsi="Calibri" w:cs="Times New Roman"/>
      <w:b/>
      <w:color w:val="000000"/>
      <w:spacing w:val="10"/>
      <w:kern w:val="3"/>
      <w:sz w:val="23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52C8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Ttulo5Char">
    <w:name w:val="Título 5 Char"/>
    <w:basedOn w:val="Fontepargpadro"/>
    <w:link w:val="Ttulo5"/>
    <w:rsid w:val="00352C83"/>
    <w:rPr>
      <w:rFonts w:ascii="Calibri Light" w:eastAsia="Times New Roman" w:hAnsi="Calibri Light" w:cs="Times New Roman"/>
      <w:color w:val="2E74B5"/>
    </w:rPr>
  </w:style>
  <w:style w:type="character" w:customStyle="1" w:styleId="Ttulo6Char">
    <w:name w:val="Título 6 Char"/>
    <w:basedOn w:val="Fontepargpadro"/>
    <w:link w:val="Ttulo6"/>
    <w:rsid w:val="00352C83"/>
    <w:rPr>
      <w:rFonts w:ascii="Calibri Light" w:eastAsia="Times New Roman" w:hAnsi="Calibri Light" w:cs="Times New Roman"/>
      <w:color w:val="1F4D78"/>
    </w:rPr>
  </w:style>
  <w:style w:type="character" w:customStyle="1" w:styleId="Ttulo7Char">
    <w:name w:val="Título 7 Char"/>
    <w:basedOn w:val="Fontepargpadro"/>
    <w:link w:val="Ttulo7"/>
    <w:rsid w:val="00352C83"/>
    <w:rPr>
      <w:rFonts w:ascii="Calibri Light" w:eastAsia="Times New Roman" w:hAnsi="Calibri Light" w:cs="Times New Roman"/>
      <w:i/>
      <w:iCs/>
      <w:color w:val="1F4D78"/>
    </w:rPr>
  </w:style>
  <w:style w:type="character" w:customStyle="1" w:styleId="Ttulo8Char">
    <w:name w:val="Título 8 Char"/>
    <w:basedOn w:val="Fontepargpadro"/>
    <w:link w:val="Ttulo8"/>
    <w:rsid w:val="00352C83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352C83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Standard">
    <w:name w:val="Standard"/>
    <w:rsid w:val="00352C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tulo">
    <w:name w:val="Title"/>
    <w:basedOn w:val="Standard"/>
    <w:next w:val="Textbody"/>
    <w:link w:val="TtuloChar"/>
    <w:rsid w:val="00352C8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352C83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352C83"/>
    <w:pPr>
      <w:spacing w:after="120"/>
    </w:pPr>
  </w:style>
  <w:style w:type="paragraph" w:styleId="Subttulo">
    <w:name w:val="Subtitle"/>
    <w:basedOn w:val="Ttulo"/>
    <w:next w:val="Textbody"/>
    <w:link w:val="SubttuloChar"/>
    <w:rsid w:val="00352C83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352C83"/>
    <w:rPr>
      <w:rFonts w:ascii="Arial" w:eastAsia="Microsoft YaHei" w:hAnsi="Arial" w:cs="Mangal"/>
      <w:i/>
      <w:iCs/>
      <w:kern w:val="3"/>
      <w:sz w:val="28"/>
      <w:szCs w:val="28"/>
      <w:lang w:eastAsia="zh-CN" w:bidi="hi-IN"/>
    </w:rPr>
  </w:style>
  <w:style w:type="paragraph" w:styleId="Lista">
    <w:name w:val="List"/>
    <w:basedOn w:val="Textbody"/>
    <w:rsid w:val="00352C83"/>
  </w:style>
  <w:style w:type="paragraph" w:styleId="Legenda">
    <w:name w:val="caption"/>
    <w:basedOn w:val="Standard"/>
    <w:rsid w:val="00352C8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52C83"/>
    <w:pPr>
      <w:suppressLineNumbers/>
    </w:pPr>
  </w:style>
  <w:style w:type="paragraph" w:customStyle="1" w:styleId="HorizontalLine">
    <w:name w:val="Horizontal Line"/>
    <w:basedOn w:val="Standard"/>
    <w:next w:val="Textbody"/>
    <w:rsid w:val="00352C83"/>
    <w:pPr>
      <w:suppressLineNumbers/>
      <w:spacing w:after="283"/>
    </w:pPr>
    <w:rPr>
      <w:sz w:val="12"/>
      <w:szCs w:val="12"/>
    </w:rPr>
  </w:style>
  <w:style w:type="paragraph" w:customStyle="1" w:styleId="Laranja">
    <w:name w:val="Laranja"/>
    <w:basedOn w:val="Ttulo1"/>
    <w:rsid w:val="00352C83"/>
  </w:style>
  <w:style w:type="paragraph" w:customStyle="1" w:styleId="verde">
    <w:name w:val="verde"/>
    <w:basedOn w:val="Ttulo1"/>
    <w:rsid w:val="00352C83"/>
    <w:pPr>
      <w:tabs>
        <w:tab w:val="left" w:pos="0"/>
      </w:tabs>
    </w:pPr>
    <w:rPr>
      <w:color w:val="005051"/>
    </w:rPr>
  </w:style>
  <w:style w:type="paragraph" w:customStyle="1" w:styleId="verdebold">
    <w:name w:val="verde bold"/>
    <w:basedOn w:val="verde"/>
    <w:rsid w:val="00352C83"/>
  </w:style>
  <w:style w:type="paragraph" w:customStyle="1" w:styleId="TableContents">
    <w:name w:val="Table Contents"/>
    <w:basedOn w:val="Standard"/>
    <w:rsid w:val="00352C83"/>
    <w:pPr>
      <w:suppressLineNumbers/>
    </w:pPr>
  </w:style>
  <w:style w:type="character" w:styleId="Forte">
    <w:name w:val="Strong"/>
    <w:uiPriority w:val="22"/>
    <w:qFormat/>
    <w:rsid w:val="00352C83"/>
    <w:rPr>
      <w:b/>
      <w:bCs/>
    </w:rPr>
  </w:style>
  <w:style w:type="character" w:styleId="Refdecomentrio">
    <w:name w:val="annotation reference"/>
    <w:basedOn w:val="Fontepargpadro"/>
    <w:rsid w:val="00352C8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52C83"/>
    <w:pPr>
      <w:autoSpaceDN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352C8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52C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52C83"/>
    <w:rPr>
      <w:rFonts w:ascii="Calibri" w:eastAsia="Calibri" w:hAnsi="Calibri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rsid w:val="00352C83"/>
    <w:pPr>
      <w:autoSpaceDN w:val="0"/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52C83"/>
    <w:rPr>
      <w:rFonts w:ascii="Segoe UI" w:eastAsia="Calibri" w:hAnsi="Segoe UI" w:cs="Segoe UI"/>
      <w:sz w:val="18"/>
      <w:szCs w:val="18"/>
    </w:rPr>
  </w:style>
  <w:style w:type="paragraph" w:styleId="CitaoIntensa">
    <w:name w:val="Intense Quote"/>
    <w:basedOn w:val="Normal"/>
    <w:next w:val="Normal"/>
    <w:link w:val="CitaoIntensaChar"/>
    <w:rsid w:val="00352C83"/>
    <w:pPr>
      <w:pBdr>
        <w:top w:val="single" w:sz="4" w:space="10" w:color="5B9BD5"/>
        <w:bottom w:val="single" w:sz="4" w:space="10" w:color="5B9BD5"/>
      </w:pBdr>
      <w:autoSpaceDN w:val="0"/>
      <w:spacing w:before="360" w:after="360" w:line="240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CitaoIntensaChar">
    <w:name w:val="Citação Intensa Char"/>
    <w:basedOn w:val="Fontepargpadro"/>
    <w:link w:val="CitaoIntensa"/>
    <w:rsid w:val="00352C83"/>
    <w:rPr>
      <w:rFonts w:ascii="Calibri" w:eastAsia="Calibri" w:hAnsi="Calibri" w:cs="Times New Roman"/>
      <w:i/>
      <w:iCs/>
      <w:color w:val="5B9BD5"/>
    </w:rPr>
  </w:style>
  <w:style w:type="paragraph" w:styleId="Textodenotaderodap">
    <w:name w:val="footnote text"/>
    <w:basedOn w:val="Normal"/>
    <w:link w:val="TextodenotaderodapChar"/>
    <w:uiPriority w:val="99"/>
    <w:rsid w:val="00352C83"/>
    <w:pPr>
      <w:autoSpaceDN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52C8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rsid w:val="00352C83"/>
    <w:rPr>
      <w:position w:val="0"/>
      <w:vertAlign w:val="superscript"/>
    </w:rPr>
  </w:style>
  <w:style w:type="paragraph" w:customStyle="1" w:styleId="RodapdeFigura">
    <w:name w:val="Rodapé de Figura"/>
    <w:basedOn w:val="Normal"/>
    <w:rsid w:val="00352C83"/>
    <w:pPr>
      <w:suppressAutoHyphens/>
      <w:autoSpaceDN w:val="0"/>
      <w:spacing w:before="60" w:after="240" w:line="240" w:lineRule="auto"/>
      <w:ind w:left="567" w:hanging="567"/>
      <w:jc w:val="both"/>
    </w:pPr>
    <w:rPr>
      <w:rFonts w:ascii="Tahoma" w:eastAsia="Calibri" w:hAnsi="Tahoma" w:cs="Tahoma"/>
      <w:color w:val="595959"/>
      <w:kern w:val="3"/>
      <w:sz w:val="16"/>
    </w:rPr>
  </w:style>
  <w:style w:type="paragraph" w:customStyle="1" w:styleId="Quadro">
    <w:name w:val="Quadro"/>
    <w:basedOn w:val="Normal"/>
    <w:rsid w:val="00352C83"/>
    <w:pPr>
      <w:suppressAutoHyphens/>
      <w:autoSpaceDN w:val="0"/>
      <w:spacing w:before="120" w:after="120" w:line="360" w:lineRule="auto"/>
      <w:jc w:val="both"/>
    </w:pPr>
    <w:rPr>
      <w:rFonts w:ascii="Tahoma" w:eastAsia="Calibri" w:hAnsi="Tahoma" w:cs="Tahoma"/>
      <w:b/>
      <w:color w:val="595959"/>
      <w:kern w:val="3"/>
      <w:sz w:val="20"/>
      <w:lang w:eastAsia="pt-BR"/>
    </w:rPr>
  </w:style>
  <w:style w:type="paragraph" w:customStyle="1" w:styleId="corpodetexto">
    <w:name w:val="corpo de texto"/>
    <w:basedOn w:val="Normal"/>
    <w:rsid w:val="00352C83"/>
    <w:pPr>
      <w:suppressAutoHyphens/>
      <w:autoSpaceDN w:val="0"/>
      <w:spacing w:before="120" w:after="120" w:line="360" w:lineRule="auto"/>
      <w:jc w:val="both"/>
      <w:textAlignment w:val="baseline"/>
    </w:pPr>
    <w:rPr>
      <w:rFonts w:ascii="Tahoma" w:eastAsia="Calibri" w:hAnsi="Tahoma" w:cs="Tahoma"/>
      <w:kern w:val="3"/>
      <w:sz w:val="20"/>
      <w:lang w:eastAsia="pt-BR"/>
    </w:rPr>
  </w:style>
  <w:style w:type="paragraph" w:customStyle="1" w:styleId="Default">
    <w:name w:val="Default"/>
    <w:rsid w:val="00352C83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styleId="HiperlinkVisitado">
    <w:name w:val="FollowedHyperlink"/>
    <w:basedOn w:val="Fontepargpadro"/>
    <w:rsid w:val="00352C83"/>
    <w:rPr>
      <w:color w:val="954F72"/>
      <w:u w:val="single"/>
    </w:rPr>
  </w:style>
  <w:style w:type="paragraph" w:customStyle="1" w:styleId="Estilo1">
    <w:name w:val="Estilo1"/>
    <w:basedOn w:val="Laranja"/>
    <w:rsid w:val="00352C83"/>
  </w:style>
  <w:style w:type="paragraph" w:customStyle="1" w:styleId="Estilo2">
    <w:name w:val="Estilo2"/>
    <w:basedOn w:val="Laranja"/>
    <w:rsid w:val="00352C83"/>
    <w:rPr>
      <w:color w:val="044F50"/>
      <w:sz w:val="19"/>
    </w:rPr>
  </w:style>
  <w:style w:type="character" w:customStyle="1" w:styleId="Estilo1Char">
    <w:name w:val="Estilo1 Char"/>
    <w:basedOn w:val="Fontepargpadro"/>
    <w:rsid w:val="00352C83"/>
    <w:rPr>
      <w:rFonts w:ascii="Tahoma" w:eastAsia="Times New Roman" w:hAnsi="Tahoma" w:cs="Tahoma"/>
      <w:b/>
      <w:bCs/>
      <w:color w:val="DD4F05"/>
      <w:sz w:val="22"/>
      <w:szCs w:val="22"/>
      <w:lang w:eastAsia="pt-BR" w:bidi="ar-SA"/>
    </w:rPr>
  </w:style>
  <w:style w:type="character" w:customStyle="1" w:styleId="Estilo2Char">
    <w:name w:val="Estilo2 Char"/>
    <w:basedOn w:val="Fontepargpadro"/>
    <w:rsid w:val="00352C83"/>
    <w:rPr>
      <w:rFonts w:ascii="Tahoma" w:eastAsia="Times New Roman" w:hAnsi="Tahoma" w:cs="Tahoma"/>
      <w:b/>
      <w:bCs/>
      <w:color w:val="044F50"/>
      <w:sz w:val="19"/>
      <w:szCs w:val="22"/>
      <w:lang w:eastAsia="pt-BR" w:bidi="ar-SA"/>
    </w:rPr>
  </w:style>
  <w:style w:type="paragraph" w:styleId="CabealhodoSumrio">
    <w:name w:val="TOC Heading"/>
    <w:basedOn w:val="Ttulo1"/>
    <w:next w:val="Normal"/>
    <w:uiPriority w:val="39"/>
    <w:qFormat/>
    <w:rsid w:val="00352C83"/>
    <w:pPr>
      <w:keepNext/>
      <w:keepLines/>
      <w:suppressAutoHyphens w:val="0"/>
      <w:spacing w:line="240" w:lineRule="auto"/>
      <w:jc w:val="left"/>
      <w:textAlignment w:val="auto"/>
    </w:pPr>
    <w:rPr>
      <w:rFonts w:ascii="Calibri Light" w:hAnsi="Calibri Light" w:cs="Times New Roman"/>
      <w:bCs w:val="0"/>
      <w:color w:val="2E74B5"/>
      <w:kern w:val="0"/>
      <w:sz w:val="32"/>
      <w:szCs w:val="32"/>
    </w:rPr>
  </w:style>
  <w:style w:type="paragraph" w:customStyle="1" w:styleId="corpododocumento">
    <w:name w:val="corpo do documento"/>
    <w:basedOn w:val="Normal"/>
    <w:rsid w:val="00352C83"/>
    <w:pPr>
      <w:suppressAutoHyphens/>
      <w:autoSpaceDE w:val="0"/>
      <w:autoSpaceDN w:val="0"/>
      <w:spacing w:after="113" w:line="360" w:lineRule="atLeast"/>
      <w:textAlignment w:val="center"/>
    </w:pPr>
    <w:rPr>
      <w:rFonts w:ascii="Tahoma" w:eastAsia="Times New Roman" w:hAnsi="Tahoma" w:cs="Tahoma"/>
      <w:color w:val="404040"/>
      <w:sz w:val="20"/>
      <w:szCs w:val="20"/>
      <w:lang w:eastAsia="pt-BR"/>
    </w:rPr>
  </w:style>
  <w:style w:type="character" w:customStyle="1" w:styleId="corpododocumentoChar">
    <w:name w:val="corpo do documento Char"/>
    <w:basedOn w:val="Fontepargpadro"/>
    <w:rsid w:val="00352C83"/>
    <w:rPr>
      <w:rFonts w:ascii="Tahoma" w:eastAsia="Times New Roman" w:hAnsi="Tahoma" w:cs="Tahoma"/>
      <w:color w:val="404040"/>
      <w:kern w:val="0"/>
      <w:sz w:val="20"/>
      <w:szCs w:val="20"/>
      <w:lang w:eastAsia="pt-BR" w:bidi="ar-SA"/>
    </w:rPr>
  </w:style>
  <w:style w:type="paragraph" w:customStyle="1" w:styleId="corpodastabelas">
    <w:name w:val="corpo das tabelas"/>
    <w:basedOn w:val="corpododocumento"/>
    <w:rsid w:val="00352C83"/>
    <w:rPr>
      <w:color w:val="000000"/>
      <w:sz w:val="18"/>
    </w:rPr>
  </w:style>
  <w:style w:type="character" w:customStyle="1" w:styleId="corpodastabelasChar">
    <w:name w:val="corpo das tabelas Char"/>
    <w:basedOn w:val="corpododocumentoChar"/>
    <w:rsid w:val="00352C83"/>
    <w:rPr>
      <w:rFonts w:ascii="Tahoma" w:eastAsia="Times New Roman" w:hAnsi="Tahoma" w:cs="Tahoma"/>
      <w:color w:val="000000"/>
      <w:kern w:val="0"/>
      <w:sz w:val="18"/>
      <w:szCs w:val="20"/>
      <w:lang w:eastAsia="pt-BR" w:bidi="ar-SA"/>
    </w:rPr>
  </w:style>
  <w:style w:type="paragraph" w:customStyle="1" w:styleId="RelatrioNvel2">
    <w:name w:val="Relatório Nível 2"/>
    <w:basedOn w:val="Ttulo2"/>
    <w:autoRedefine/>
    <w:rsid w:val="00352C83"/>
    <w:pPr>
      <w:ind w:left="860" w:hanging="576"/>
    </w:pPr>
    <w:rPr>
      <w:color w:val="005051"/>
      <w:sz w:val="24"/>
      <w:szCs w:val="24"/>
    </w:rPr>
  </w:style>
  <w:style w:type="character" w:customStyle="1" w:styleId="RelatrioNvel2Char">
    <w:name w:val="Relatório Nível 2 Char"/>
    <w:basedOn w:val="Fontepargpadro"/>
    <w:rsid w:val="00352C83"/>
    <w:rPr>
      <w:rFonts w:ascii="Tahoma" w:eastAsia="Calibri" w:hAnsi="Tahoma" w:cs="Times New Roman"/>
      <w:color w:val="005051"/>
      <w:spacing w:val="20"/>
      <w:lang w:eastAsia="pt-BR" w:bidi="ar-SA"/>
    </w:rPr>
  </w:style>
  <w:style w:type="paragraph" w:styleId="SemEspaamento">
    <w:name w:val="No Spacing"/>
    <w:rsid w:val="00352C83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Mangal"/>
      <w:kern w:val="3"/>
      <w:szCs w:val="20"/>
      <w:lang w:bidi="hi-IN"/>
    </w:rPr>
  </w:style>
  <w:style w:type="character" w:customStyle="1" w:styleId="corpocomidentaoChar">
    <w:name w:val="corpo com identação Char"/>
    <w:basedOn w:val="Fontepargpadro"/>
    <w:rsid w:val="00352C83"/>
    <w:rPr>
      <w:rFonts w:ascii="Tahoma" w:hAnsi="Tahoma" w:cs="Tahoma"/>
      <w:bCs/>
      <w:color w:val="595959"/>
    </w:rPr>
  </w:style>
  <w:style w:type="paragraph" w:customStyle="1" w:styleId="corpocomidentao">
    <w:name w:val="corpo com identação"/>
    <w:basedOn w:val="PargrafodaLista"/>
    <w:rsid w:val="00352C83"/>
    <w:pPr>
      <w:numPr>
        <w:numId w:val="1"/>
      </w:numPr>
      <w:suppressAutoHyphens/>
      <w:autoSpaceDE w:val="0"/>
      <w:autoSpaceDN w:val="0"/>
      <w:spacing w:before="120" w:after="120" w:line="320" w:lineRule="exact"/>
      <w:contextualSpacing w:val="0"/>
    </w:pPr>
    <w:rPr>
      <w:rFonts w:ascii="Tahoma" w:eastAsia="SimSun" w:hAnsi="Tahoma" w:cs="Tahoma"/>
      <w:bCs/>
      <w:color w:val="595959"/>
      <w:kern w:val="3"/>
      <w:sz w:val="24"/>
      <w:szCs w:val="24"/>
      <w:lang w:eastAsia="zh-CN" w:bidi="hi-IN"/>
    </w:rPr>
  </w:style>
  <w:style w:type="character" w:customStyle="1" w:styleId="PargrafodaListaChar">
    <w:name w:val="Parágrafo da Lista Char"/>
    <w:basedOn w:val="Fontepargpadro"/>
    <w:rsid w:val="00352C83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UnresolvedMention1">
    <w:name w:val="Unresolved Mention1"/>
    <w:basedOn w:val="Fontepargpadro"/>
    <w:rsid w:val="00352C83"/>
    <w:rPr>
      <w:color w:val="605E5C"/>
      <w:shd w:val="clear" w:color="auto" w:fill="E1DFDD"/>
    </w:rPr>
  </w:style>
  <w:style w:type="paragraph" w:styleId="Remissivo1">
    <w:name w:val="index 1"/>
    <w:basedOn w:val="Normal"/>
    <w:next w:val="Normal"/>
    <w:autoRedefine/>
    <w:rsid w:val="00352C83"/>
    <w:pPr>
      <w:widowControl w:val="0"/>
      <w:suppressAutoHyphens/>
      <w:autoSpaceDN w:val="0"/>
      <w:spacing w:after="0" w:line="240" w:lineRule="auto"/>
      <w:ind w:left="220" w:hanging="220"/>
      <w:jc w:val="both"/>
      <w:textAlignment w:val="baseline"/>
    </w:pPr>
    <w:rPr>
      <w:rFonts w:ascii="Times New Roman" w:eastAsia="SimSun" w:hAnsi="Times New Roman" w:cs="Mangal"/>
      <w:kern w:val="3"/>
      <w:szCs w:val="20"/>
      <w:lang w:bidi="hi-IN"/>
    </w:rPr>
  </w:style>
  <w:style w:type="paragraph" w:styleId="Sumrio2">
    <w:name w:val="toc 2"/>
    <w:basedOn w:val="Normal"/>
    <w:next w:val="Normal"/>
    <w:autoRedefine/>
    <w:uiPriority w:val="39"/>
    <w:rsid w:val="00FC7079"/>
    <w:pPr>
      <w:widowControl w:val="0"/>
      <w:tabs>
        <w:tab w:val="left" w:pos="880"/>
        <w:tab w:val="right" w:pos="9781"/>
      </w:tabs>
      <w:suppressAutoHyphens/>
      <w:autoSpaceDN w:val="0"/>
      <w:spacing w:before="120" w:after="0" w:line="360" w:lineRule="auto"/>
      <w:ind w:left="709" w:right="-35"/>
      <w:textAlignment w:val="baseline"/>
    </w:pPr>
    <w:rPr>
      <w:rFonts w:ascii="Tahoma" w:eastAsia="SimSun" w:hAnsi="Tahoma" w:cs="Tahoma"/>
      <w:b/>
      <w:bCs/>
      <w:kern w:val="3"/>
      <w:sz w:val="18"/>
      <w:szCs w:val="18"/>
      <w:lang w:bidi="hi-IN"/>
    </w:rPr>
  </w:style>
  <w:style w:type="paragraph" w:styleId="Sumrio3">
    <w:name w:val="toc 3"/>
    <w:basedOn w:val="Normal"/>
    <w:next w:val="Normal"/>
    <w:autoRedefine/>
    <w:uiPriority w:val="39"/>
    <w:rsid w:val="00352C83"/>
    <w:pPr>
      <w:widowControl w:val="0"/>
      <w:suppressAutoHyphens/>
      <w:autoSpaceDN w:val="0"/>
      <w:spacing w:after="0" w:line="360" w:lineRule="auto"/>
      <w:ind w:left="44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4">
    <w:name w:val="toc 4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66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5">
    <w:name w:val="toc 5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88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6">
    <w:name w:val="toc 6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110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7">
    <w:name w:val="toc 7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132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8">
    <w:name w:val="toc 8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154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paragraph" w:styleId="Sumrio9">
    <w:name w:val="toc 9"/>
    <w:basedOn w:val="Normal"/>
    <w:next w:val="Normal"/>
    <w:autoRedefine/>
    <w:rsid w:val="00352C83"/>
    <w:pPr>
      <w:widowControl w:val="0"/>
      <w:suppressAutoHyphens/>
      <w:autoSpaceDN w:val="0"/>
      <w:spacing w:after="0" w:line="360" w:lineRule="auto"/>
      <w:ind w:left="1760"/>
      <w:textAlignment w:val="baseline"/>
    </w:pPr>
    <w:rPr>
      <w:rFonts w:ascii="Calibri" w:eastAsia="SimSun" w:hAnsi="Calibri" w:cs="Calibri"/>
      <w:kern w:val="3"/>
      <w:sz w:val="20"/>
      <w:szCs w:val="20"/>
      <w:lang w:bidi="hi-IN"/>
    </w:rPr>
  </w:style>
  <w:style w:type="character" w:styleId="Nmerodepgina">
    <w:name w:val="page number"/>
    <w:basedOn w:val="Fontepargpadro"/>
    <w:rsid w:val="00352C83"/>
  </w:style>
  <w:style w:type="paragraph" w:styleId="Reviso">
    <w:name w:val="Revision"/>
    <w:rsid w:val="00352C83"/>
    <w:pPr>
      <w:autoSpaceDN w:val="0"/>
      <w:spacing w:after="0" w:line="240" w:lineRule="auto"/>
    </w:pPr>
    <w:rPr>
      <w:rFonts w:ascii="Times New Roman" w:eastAsia="SimSun" w:hAnsi="Times New Roman" w:cs="Mangal"/>
      <w:kern w:val="3"/>
      <w:szCs w:val="20"/>
      <w:lang w:bidi="hi-IN"/>
    </w:rPr>
  </w:style>
  <w:style w:type="character" w:styleId="TtulodoLivro">
    <w:name w:val="Book Title"/>
    <w:basedOn w:val="Fontepargpadro"/>
    <w:rsid w:val="00352C83"/>
    <w:rPr>
      <w:b/>
      <w:bCs/>
      <w:i/>
      <w:iCs/>
      <w:spacing w:val="5"/>
    </w:rPr>
  </w:style>
  <w:style w:type="numbering" w:customStyle="1" w:styleId="LFO4">
    <w:name w:val="LFO4"/>
    <w:basedOn w:val="Semlista"/>
    <w:rsid w:val="00352C83"/>
    <w:pPr>
      <w:numPr>
        <w:numId w:val="1"/>
      </w:numPr>
    </w:pPr>
  </w:style>
  <w:style w:type="paragraph" w:customStyle="1" w:styleId="dou-paragraph">
    <w:name w:val="dou-paragraph"/>
    <w:basedOn w:val="Normal"/>
    <w:rsid w:val="00285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D0712B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F2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12306"/>
    <w:rPr>
      <w:color w:val="605E5C"/>
      <w:shd w:val="clear" w:color="auto" w:fill="E1DFDD"/>
    </w:rPr>
  </w:style>
  <w:style w:type="character" w:customStyle="1" w:styleId="t21">
    <w:name w:val="t21"/>
    <w:basedOn w:val="Fontepargpadro"/>
    <w:rsid w:val="000D0724"/>
  </w:style>
  <w:style w:type="character" w:customStyle="1" w:styleId="markedcontent">
    <w:name w:val="markedcontent"/>
    <w:basedOn w:val="Fontepargpadro"/>
    <w:rsid w:val="00214885"/>
  </w:style>
  <w:style w:type="paragraph" w:customStyle="1" w:styleId="paragraph">
    <w:name w:val="paragraph"/>
    <w:basedOn w:val="Normal"/>
    <w:rsid w:val="005E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E229E"/>
  </w:style>
  <w:style w:type="character" w:customStyle="1" w:styleId="eop">
    <w:name w:val="eop"/>
    <w:basedOn w:val="Fontepargpadro"/>
    <w:rsid w:val="005E229E"/>
  </w:style>
  <w:style w:type="character" w:styleId="MenoPendente">
    <w:name w:val="Unresolved Mention"/>
    <w:basedOn w:val="Fontepargpadro"/>
    <w:uiPriority w:val="99"/>
    <w:semiHidden/>
    <w:unhideWhenUsed/>
    <w:rsid w:val="005A640A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B80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1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gov.br/planejamento/pt-br/assuntos/plano-plurianual/" TargetMode="External"/><Relationship Id="rId26" Type="http://schemas.openxmlformats.org/officeDocument/2006/relationships/hyperlink" Target="http://www.finep.gov.br/transparencia-finep/relatorios-do-fndct/relatorios-de-gestao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planejamentoestrategico.mcti.gov.br/arquivos/mapa_oficial.pdf" TargetMode="External"/><Relationship Id="rId34" Type="http://schemas.openxmlformats.org/officeDocument/2006/relationships/hyperlink" Target="http://www.finep.gov.br/acoes-e-programas" TargetMode="External"/><Relationship Id="rId42" Type="http://schemas.openxmlformats.org/officeDocument/2006/relationships/hyperlink" Target="http://www.finep.gov.br/images/a-finep/Politica/29_04_2020_politica_de_gestao_integrada_de_riscos.pdf" TargetMode="External"/><Relationship Id="rId47" Type="http://schemas.openxmlformats.org/officeDocument/2006/relationships/hyperlink" Target="http://www.finep.gov.br/a-finep-externo/comissao-de-etica/sobre-a-comissao-de-etica" TargetMode="External"/><Relationship Id="rId50" Type="http://schemas.openxmlformats.org/officeDocument/2006/relationships/image" Target="media/image7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v.br/mcti/pt-br/acesso-a-informacao/prestacao-de-contas/2023" TargetMode="External"/><Relationship Id="rId29" Type="http://schemas.openxmlformats.org/officeDocument/2006/relationships/hyperlink" Target="http://finep.gov.br/a-finep-externo/fndct/execucao-orcamentaria-e-financeira/demonstrativos-da-execucao" TargetMode="External"/><Relationship Id="rId11" Type="http://schemas.openxmlformats.org/officeDocument/2006/relationships/hyperlink" Target="mailto:audimec@audimec.com.br" TargetMode="External"/><Relationship Id="rId24" Type="http://schemas.openxmlformats.org/officeDocument/2006/relationships/hyperlink" Target="https://www.gov.br/planejamento/pt-br/assuntos/plano-plurianual/paginas/lei-do-ppa" TargetMode="External"/><Relationship Id="rId32" Type="http://schemas.openxmlformats.org/officeDocument/2006/relationships/hyperlink" Target="http://www.finep.gov.br/a-finep-externo/governanca/conselho-de-administracao-ca/conselho-de-administracao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://www.finep.gov.br/transparencia-finep/relatorios-do-fndct/relatorios-de-gestao" TargetMode="External"/><Relationship Id="rId45" Type="http://schemas.openxmlformats.org/officeDocument/2006/relationships/hyperlink" Target="http://www.finep.gov.br/images/acesso-a-informacao/Balan&#231;o_Finep/2023/03_05_2024_Demonstracoes_Contabeis_Notas_Explicativas_Finep_2023.pdf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yperlink" Target="https://antigo.mctic.gov.br/mctic/opencms/ciencia/SEPED/Publicacoes/ENCTI/PlanosDeAcao.html" TargetMode="External"/><Relationship Id="rId31" Type="http://schemas.openxmlformats.org/officeDocument/2006/relationships/hyperlink" Target="http://www.finep.gov.br/transparencia-finep/balanco-finep" TargetMode="External"/><Relationship Id="rId44" Type="http://schemas.openxmlformats.org/officeDocument/2006/relationships/hyperlink" Target="http://www.finep.gov.br/transparencia-finep/balanco-finep" TargetMode="External"/><Relationship Id="rId52" Type="http://schemas.openxmlformats.org/officeDocument/2006/relationships/hyperlink" Target="http://www.finep.gov.br/consulta-empregad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planalto.gov.br/ccivil_03/decreto/1950-1969/D61056.htm" TargetMode="External"/><Relationship Id="rId22" Type="http://schemas.openxmlformats.org/officeDocument/2006/relationships/hyperlink" Target="http://www.finep.gov.br/a-finep-externo/fndct/governanca-e-planejamento" TargetMode="External"/><Relationship Id="rId27" Type="http://schemas.openxmlformats.org/officeDocument/2006/relationships/hyperlink" Target="http://www.finep.gov.br/transparencia-finep/relatorios-do-fndct/relatorios-de-gestao" TargetMode="External"/><Relationship Id="rId30" Type="http://schemas.openxmlformats.org/officeDocument/2006/relationships/hyperlink" Target="http://www.finep.gov.br/transparencia-finep/relatorios-do-fndct/relato-integrado" TargetMode="External"/><Relationship Id="rId35" Type="http://schemas.openxmlformats.org/officeDocument/2006/relationships/image" Target="media/image3.png"/><Relationship Id="rId43" Type="http://schemas.openxmlformats.org/officeDocument/2006/relationships/hyperlink" Target="http://www.finep.gov.br/images/a-finep/Governanca/Politicas/06_02_2020_Politica_de_Apetite_por_Riscos.pdf" TargetMode="External"/><Relationship Id="rId48" Type="http://schemas.openxmlformats.org/officeDocument/2006/relationships/hyperlink" Target="http://www.finep.gov.br/a-finep-externo/programa-de-integridade/canal-de-denuncias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finep.gov.br/a-finep-externo/programa-de-integridade/o-programa-de-integridade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finep.gov.br/receitas-e-despesas" TargetMode="External"/><Relationship Id="rId25" Type="http://schemas.openxmlformats.org/officeDocument/2006/relationships/hyperlink" Target="http://www.finep.gov.br/transparencia-finep/objetivos-metas-e-resultados" TargetMode="External"/><Relationship Id="rId33" Type="http://schemas.openxmlformats.org/officeDocument/2006/relationships/hyperlink" Target="http://www.finep.gov.br/apoio-e-financiamento-externa/programas-e-linhas/finep-mais-inovacao" TargetMode="External"/><Relationship Id="rId38" Type="http://schemas.openxmlformats.org/officeDocument/2006/relationships/hyperlink" Target="http://www.finep.gov.br/a-finep-externo/cadeia-de-valor" TargetMode="External"/><Relationship Id="rId46" Type="http://schemas.openxmlformats.org/officeDocument/2006/relationships/hyperlink" Target="http://www.finep.gov.br/a-finep-externo/codigo-de-etica-e-de-conduta-da-finep" TargetMode="External"/><Relationship Id="rId20" Type="http://schemas.openxmlformats.org/officeDocument/2006/relationships/hyperlink" Target="https://www.gov.br/economia/pt-br/assuntos/gestao/estrategia-federal-de-desenvolvimento" TargetMode="External"/><Relationship Id="rId41" Type="http://schemas.openxmlformats.org/officeDocument/2006/relationships/image" Target="media/image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wnload.finep.gov.br/Estatuto_Social_da_Finep.pdf" TargetMode="External"/><Relationship Id="rId23" Type="http://schemas.openxmlformats.org/officeDocument/2006/relationships/hyperlink" Target="https://www.in.gov.br/web/dou/-/resolucao-cndi/mdic-n-1-de-6-de-julho-de-2023-*-497534395" TargetMode="External"/><Relationship Id="rId28" Type="http://schemas.openxmlformats.org/officeDocument/2006/relationships/hyperlink" Target="https://www.gov.br/planejamento/pt-br/assuntos/orcamento/orcamento/orcamentos-anuais/2024/loa/lei-orcamentaria-anual-loa" TargetMode="External"/><Relationship Id="rId36" Type="http://schemas.openxmlformats.org/officeDocument/2006/relationships/hyperlink" Target="http://www.finep.gov.br/transparencia-finep/relatorios-do-fndct/relatorios-de-gestao" TargetMode="External"/><Relationship Id="rId49" Type="http://schemas.openxmlformats.org/officeDocument/2006/relationships/hyperlink" Target="http://www.finep.gov.br/acoes-correicao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5cncti.org.br/conferencia-nacional/" TargetMode="External"/><Relationship Id="rId3" Type="http://schemas.openxmlformats.org/officeDocument/2006/relationships/hyperlink" Target="https://www.planalto.gov.br/ccivil_03/decreto/1970-1979/D71133.htm" TargetMode="External"/><Relationship Id="rId7" Type="http://schemas.openxmlformats.org/officeDocument/2006/relationships/hyperlink" Target="https://antigo.mctic.gov.br/mctic/opencms/legislacao/portarias/Portaria_MCTI_n_6998_de_10052023.html" TargetMode="External"/><Relationship Id="rId2" Type="http://schemas.openxmlformats.org/officeDocument/2006/relationships/hyperlink" Target="https://abde.org.br/sistema-nacional-de-fomento/" TargetMode="External"/><Relationship Id="rId1" Type="http://schemas.openxmlformats.org/officeDocument/2006/relationships/hyperlink" Target="http://www.planalto.gov.br/ccivil_03/_ato2023-2026/2023/decreto/D11401.htm" TargetMode="External"/><Relationship Id="rId6" Type="http://schemas.openxmlformats.org/officeDocument/2006/relationships/hyperlink" Target="http://www.finep.gov.br/images/a-finep/Condicoes_Operacionais/CondicoesOperacionais.pdf" TargetMode="External"/><Relationship Id="rId5" Type="http://schemas.openxmlformats.org/officeDocument/2006/relationships/hyperlink" Target="https://www.planalto.gov.br/ccivil_03/_ato2007-2010/2007/lei/l11540.htm" TargetMode="External"/><Relationship Id="rId4" Type="http://schemas.openxmlformats.org/officeDocument/2006/relationships/hyperlink" Target="http://www.finep.gov.br/a-finep-externo/sobre-a-finep" TargetMode="External"/><Relationship Id="rId9" Type="http://schemas.openxmlformats.org/officeDocument/2006/relationships/hyperlink" Target="https://www.gov.br/mdic/pt-br/composicao/se/cndi/plano-de-acao/nova-industria-brasil-plano-de-acao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2E7B6-B543-49BD-9851-255715DFE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31</Pages>
  <Words>11177</Words>
  <Characters>60359</Characters>
  <Application>Microsoft Office Word</Application>
  <DocSecurity>0</DocSecurity>
  <Lines>502</Lines>
  <Paragraphs>142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de Melo Valente</dc:creator>
  <cp:lastModifiedBy>Cristina de Melo Valente</cp:lastModifiedBy>
  <cp:revision>3</cp:revision>
  <cp:lastPrinted>2024-05-29T14:37:00Z</cp:lastPrinted>
  <dcterms:created xsi:type="dcterms:W3CDTF">2024-05-29T14:36:00Z</dcterms:created>
  <dcterms:modified xsi:type="dcterms:W3CDTF">2024-05-29T14:45:00Z</dcterms:modified>
</cp:coreProperties>
</file>